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80"/>
      </w:pPr>
      <w:r>
        <w:rPr>
          <w:rFonts w:ascii="Helvetica Neue" w:hAnsi="Helvetica Neue"/>
          <w:b/>
          <w:i w:val="0"/>
          <w:caps/>
          <w:color w:val="9A7555"/>
          <w:sz w:val="15"/>
        </w:rPr>
        <w:t>VERKAUFSVORBEREITUNG · AACHEN-KORNELIMÜNSTER</w:t>
      </w:r>
    </w:p>
    <w:p>
      <w:pPr>
        <w:spacing w:after="120"/>
      </w:pPr>
      <w:r>
        <w:rPr>
          <w:rFonts w:ascii="Baskerville" w:hAnsi="Baskerville"/>
          <w:b w:val="0"/>
          <w:i w:val="0"/>
          <w:color w:val="1D2421"/>
          <w:sz w:val="58"/>
        </w:rPr>
        <w:t>Dokumenten-Checkliste</w:t>
      </w:r>
    </w:p>
    <w:p>
      <w:pPr>
        <w:keepNext w:val="0"/>
        <w:spacing w:before="0" w:after="200"/>
      </w:pPr>
      <w:r>
        <w:rPr>
          <w:rFonts w:ascii="Helvetica Neue" w:hAnsi="Helvetica Neue"/>
          <w:b w:val="0"/>
          <w:i w:val="0"/>
          <w:color w:val="68746C"/>
          <w:sz w:val="21"/>
        </w:rPr>
        <w:t>Maisonette-Eigentumswohnung · Verkäufer-, Verwaltungs- und Notariatsunterlagen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08000" cy="8544000"/>
            <wp:docPr id="1" name="Picture 1" descr="Helle Diele der Maisonette-Wohnung in Aachen-Kornelimünster." title="Helle Diele der Maisonette-Wohnung in Aachen-Kornelimünst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diel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8544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971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2" w:color="FFFFFF"/>
          <w:left w:val="single" w:sz="2" w:color="FFFFFF"/>
          <w:bottom w:val="single" w:sz="2" w:color="FFFFFF"/>
          <w:right w:val="single" w:sz="2" w:color="FFFFFF"/>
          <w:insideH w:val="single" w:sz="2" w:color="FFFFFF"/>
          <w:insideV w:val="single" w:sz="2" w:color="FFFFFF"/>
        </w:tblBorders>
      </w:tblPr>
      <w:tblGrid>
        <w:gridCol w:w="3323"/>
        <w:gridCol w:w="3323"/>
        <w:gridCol w:w="3325"/>
      </w:tblGrid>
      <w:tr>
        <w:trPr>
          <w:tblHeader w:val="true"/>
        </w:trPr>
        <w:tc>
          <w:tcPr>
            <w:tcW w:type="dxa" w:w="3323"/>
            <w:shd w:fill="F5F1EA"/>
            <w:tcMar>
              <w:top w:w="145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Baskerville" w:hAnsi="Baskerville"/>
                <w:b w:val="0"/>
                <w:i w:val="0"/>
                <w:color w:val="1D2421"/>
                <w:sz w:val="31"/>
              </w:rPr>
              <w:t>A</w:t>
            </w:r>
          </w:p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aps/>
                <w:color w:val="68746C"/>
                <w:sz w:val="13"/>
              </w:rPr>
              <w:t>Vermarktungsreife</w:t>
            </w:r>
          </w:p>
        </w:tc>
        <w:tc>
          <w:tcPr>
            <w:tcW w:type="dxa" w:w="3323"/>
            <w:shd w:fill="F5F1EA"/>
            <w:tcMar>
              <w:top w:w="145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Baskerville" w:hAnsi="Baskerville"/>
                <w:b w:val="0"/>
                <w:i w:val="0"/>
                <w:color w:val="1D2421"/>
                <w:sz w:val="31"/>
              </w:rPr>
              <w:t>B</w:t>
            </w:r>
          </w:p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aps/>
                <w:color w:val="68746C"/>
                <w:sz w:val="13"/>
              </w:rPr>
              <w:t>WEG &amp; Finanzen</w:t>
            </w:r>
          </w:p>
        </w:tc>
        <w:tc>
          <w:tcPr>
            <w:tcW w:type="dxa" w:w="3325"/>
            <w:shd w:fill="F5F1EA"/>
            <w:tcMar>
              <w:top w:w="145" w:type="dxa"/>
              <w:start w:w="120" w:type="dxa"/>
              <w:bottom w:w="130" w:type="dxa"/>
              <w:end w:w="120" w:type="dxa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Baskerville" w:hAnsi="Baskerville"/>
                <w:b w:val="0"/>
                <w:i w:val="0"/>
                <w:color w:val="1D2421"/>
                <w:sz w:val="31"/>
              </w:rPr>
              <w:t>C</w:t>
            </w:r>
          </w:p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aps/>
                <w:color w:val="68746C"/>
                <w:sz w:val="13"/>
              </w:rPr>
              <w:t>Notar &amp; Übergabe</w:t>
            </w:r>
          </w:p>
        </w:tc>
      </w:tr>
    </w:tbl>
    <w:p>
      <w:pPr>
        <w:keepNext w:val="0"/>
        <w:spacing w:before="160" w:after="140"/>
      </w:pPr>
      <w:r>
        <w:rPr>
          <w:rFonts w:ascii="Helvetica Neue" w:hAnsi="Helvetica Neue"/>
          <w:b w:val="0"/>
          <w:i w:val="0"/>
          <w:color w:val="1D2421"/>
          <w:sz w:val="18"/>
        </w:rPr>
        <w:t>Diese Checkliste bündelt die Unterlagen, die vor Veröffentlichung, Käuferprüfung und Notartermin typischerweise benötigt werden. Sie ist bewusst als Arbeits- und Übergabedokument angelegt: Status markieren, Quelle ergänzen und nur geprüfte Fassungen verteilen.</w:t>
      </w:r>
    </w:p>
    <w:tbl>
      <w:tblPr>
        <w:tblW w:type="dxa" w:w="9971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2" w:color="F5F1EA"/>
          <w:left w:val="single" w:sz="2" w:color="F5F1EA"/>
          <w:bottom w:val="single" w:sz="2" w:color="F5F1EA"/>
          <w:right w:val="single" w:sz="2" w:color="F5F1EA"/>
          <w:insideH w:val="single" w:sz="2" w:color="F5F1EA"/>
          <w:insideV w:val="single" w:sz="2" w:color="F5F1EA"/>
        </w:tblBorders>
      </w:tblPr>
      <w:tblGrid>
        <w:gridCol w:w="9971"/>
      </w:tblGrid>
      <w:tr>
        <w:trPr>
          <w:tblHeader w:val="true"/>
        </w:trPr>
        <w:tc>
          <w:tcPr>
            <w:tcW w:type="dxa" w:w="9971"/>
            <w:shd w:fill="F5F1EA"/>
            <w:tcMar>
              <w:top w:w="190" w:type="dxa"/>
              <w:start w:w="220" w:type="dxa"/>
              <w:bottom w:w="180" w:type="dxa"/>
              <w:end w:w="220" w:type="dxa"/>
            </w:tcMar>
          </w:tcPr>
          <w:p>
            <w:pPr>
              <w:spacing w:after="60"/>
            </w:pPr>
            <w:r>
              <w:rPr>
                <w:rFonts w:ascii="Helvetica Neue" w:hAnsi="Helvetica Neue"/>
                <w:b/>
                <w:i w:val="0"/>
                <w:caps/>
                <w:color w:val="9A7555"/>
                <w:sz w:val="14"/>
              </w:rPr>
              <w:t>PRIORITÄT A · VOR VERÖFFENTLICHUNG</w:t>
            </w:r>
          </w:p>
          <w:p>
            <w:pPr>
              <w:spacing w:after="80"/>
            </w:pPr>
            <w:r>
              <w:rPr>
                <w:rFonts w:ascii="Baskerville" w:hAnsi="Baskerville"/>
                <w:b w:val="0"/>
                <w:i w:val="0"/>
                <w:color w:val="1D2421"/>
                <w:sz w:val="30"/>
              </w:rPr>
              <w:t>Energieausweis vollständig beiziehen</w:t>
            </w:r>
          </w:p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8"/>
              </w:rPr>
              <w:t>Im aktuellen Exposé ist ein Kennwert von 98,5 kWh/(m²a) genannt. Vor Veröffentlichung sind der gültige Energieausweis sowie Art, Ausstellungs-/Gültigkeitsdaten, wesentlicher Energieträger, Gebäudebaujahr und Effizienzklasse anhand des Originaldokuments zu prüfen und zu ergänzen.</w:t>
            </w:r>
          </w:p>
        </w:tc>
      </w:tr>
    </w:tbl>
    <w:p>
      <w:pPr>
        <w:keepNext w:val="0"/>
        <w:spacing w:before="160" w:after="0"/>
      </w:pPr>
      <w:r>
        <w:rPr>
          <w:rFonts w:ascii="Helvetica Neue" w:hAnsi="Helvetica Neue"/>
          <w:b w:val="0"/>
          <w:i w:val="0"/>
          <w:color w:val="68746C"/>
          <w:sz w:val="15"/>
        </w:rPr>
        <w:t>Arbeitsstand · 23. August 2026</w:t>
      </w:r>
    </w:p>
    <w:p>
      <w:r>
        <w:br w:type="page"/>
      </w:r>
    </w:p>
    <w:p>
      <w:pPr>
        <w:keepNext/>
        <w:spacing w:before="0" w:after="80"/>
      </w:pPr>
      <w:r>
        <w:rPr>
          <w:rFonts w:ascii="Helvetica Neue" w:hAnsi="Helvetica Neue"/>
          <w:b/>
          <w:i w:val="0"/>
          <w:caps/>
          <w:color w:val="9A7555"/>
          <w:sz w:val="15"/>
        </w:rPr>
        <w:t>A · VERMARKTUNGSREIFE</w:t>
      </w:r>
    </w:p>
    <w:p>
      <w:pPr>
        <w:pStyle w:val="Heading1"/>
      </w:pPr>
      <w:r>
        <w:t>Die Unterlagen, die zuerst vorliegen sollten</w:t>
      </w:r>
    </w:p>
    <w:p>
      <w:pPr>
        <w:keepNext w:val="0"/>
        <w:spacing w:before="0" w:after="140"/>
      </w:pPr>
      <w:r>
        <w:rPr>
          <w:rFonts w:ascii="Helvetica Neue" w:hAnsi="Helvetica Neue"/>
          <w:b w:val="0"/>
          <w:i w:val="0"/>
          <w:color w:val="68746C"/>
          <w:sz w:val="17"/>
        </w:rPr>
        <w:t>Diese Unterlagen bilden die belastbare Grundlage für Exposé, Besichtigung und erste Käuferprüfung. Angaben niemals aus Erinnerungswerten übernehmen, sondern gegen die Originalunterlagen prüfen.</w:t>
      </w:r>
    </w:p>
    <w:p>
      <w:pPr>
        <w:spacing w:after="160"/>
      </w:pPr>
      <w:r>
        <w:rPr>
          <w:rFonts w:ascii="Helvetica Neue" w:hAnsi="Helvetica Neue"/>
          <w:b/>
          <w:i w:val="0"/>
          <w:color w:val="9A7555"/>
          <w:sz w:val="14"/>
        </w:rPr>
        <w:t xml:space="preserve">STATUS </w:t>
      </w:r>
      <w:r>
        <w:rPr>
          <w:rFonts w:ascii="Helvetica Neue" w:hAnsi="Helvetica Neue"/>
          <w:b w:val="0"/>
          <w:i w:val="0"/>
          <w:color w:val="68746C"/>
          <w:sz w:val="15"/>
        </w:rPr>
        <w:t>A = angefordert   ·   E = erhalten   ·   P = geprüft   ·   □ = bitte markieren</w:t>
      </w:r>
    </w:p>
    <w:tbl>
      <w:tblPr>
        <w:tblW w:type="dxa" w:w="9971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DED8CE"/>
          <w:left w:val="single" w:sz="4" w:color="DED8CE"/>
          <w:bottom w:val="single" w:sz="4" w:color="DED8CE"/>
          <w:right w:val="single" w:sz="4" w:color="DED8CE"/>
          <w:insideH w:val="single" w:sz="4" w:color="DED8CE"/>
          <w:insideV w:val="single" w:sz="4" w:color="DED8CE"/>
        </w:tblBorders>
      </w:tblPr>
      <w:tblGrid>
        <w:gridCol w:w="720"/>
        <w:gridCol w:w="5000"/>
        <w:gridCol w:w="2600"/>
        <w:gridCol w:w="1651"/>
      </w:tblGrid>
      <w:tr>
        <w:trPr>
          <w:tblHeader w:val="true"/>
          <w:tblHeader w:val="true"/>
        </w:trPr>
        <w:tc>
          <w:tcPr>
            <w:tcW w:type="dxa" w:w="72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NR.</w:t>
            </w:r>
          </w:p>
        </w:tc>
        <w:tc>
          <w:tcPr>
            <w:tcW w:type="dxa" w:w="500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UNTERLAGE / PRÜFINHALT</w:t>
            </w:r>
          </w:p>
        </w:tc>
        <w:tc>
          <w:tcPr>
            <w:tcW w:type="dxa" w:w="260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TYPISCHE QUELLE</w:t>
            </w:r>
          </w:p>
        </w:tc>
        <w:tc>
          <w:tcPr>
            <w:tcW w:type="dxa" w:w="1651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01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Gültiger Energieausweis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Vollständige Kopie; Ausweisart, Kennwert, Energieträger, Baujahr, Effizienzklasse und Gültigkeit abgleichen.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Verwaltung / Aussteller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02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Aktueller Grundbuchauszug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Wohnungs- und ggf. Garagengrundbuch; Bestandsverzeichnis, Abt. I-III prüfen. Für die Vermarktung möglichst aktuell.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Notar / Grundbuchamt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03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Teilungserklärung &amp; Gemeinschaftsordnung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Urkunde vollständig, inklusive sämtlicher Nachträge und Vereinbarungen; Sondernutzungsrechte beachten.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Verwaltung / Notar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04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Aufteilungsplan &amp; Abgeschlossenheitsbescheinigung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Nummerierung von Wohnung, Keller und Garage mit Grundbuch und tatsächlicher Nutzung abgleichen.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Bauakte / Verwaltung / Notar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05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Genehmigte Grundrisse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Hauptebene und Dachstudio, möglichst bemaßt; Raumbezeichnungen und baulicher Ist-Zustand vergleichen.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Bauakte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06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Wohnflächenberechnung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Nachweis für ca. 105 m²; Berechnungsgrundlage, Dachschrägen, Balkonanteil und WoFlV-Bezug prüfen.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Architekt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07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Genehmigung / Nachweis Dachstudio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Baugenehmigung, Nutzungsfreigabe oder sonstige Nachweise zur oberen Ebene und zur angegebenen Fläche beiziehen.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Bauakte / Eigentümer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08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Vermarktungs-Stammdaten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Kontakt, Provision, Verfügbarkeit, Küchenübernahme, Modernisierungsjahre sowie präzise Energieangaben schriftlich freigeben.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Makler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</w:tbl>
    <w:tbl>
      <w:tblPr>
        <w:tblW w:type="dxa" w:w="9971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2" w:color="E7E6E0"/>
          <w:left w:val="single" w:sz="2" w:color="E7E6E0"/>
          <w:bottom w:val="single" w:sz="2" w:color="E7E6E0"/>
          <w:right w:val="single" w:sz="2" w:color="E7E6E0"/>
          <w:insideH w:val="single" w:sz="2" w:color="E7E6E0"/>
          <w:insideV w:val="single" w:sz="2" w:color="E7E6E0"/>
        </w:tblBorders>
      </w:tblPr>
      <w:tblGrid>
        <w:gridCol w:w="9971"/>
      </w:tblGrid>
      <w:tr>
        <w:trPr>
          <w:tblHeader w:val="true"/>
        </w:trPr>
        <w:tc>
          <w:tcPr>
            <w:tcW w:type="dxa" w:w="9971"/>
            <w:shd w:fill="E7E6E0"/>
            <w:tcMar>
              <w:top w:w="190" w:type="dxa"/>
              <w:start w:w="220" w:type="dxa"/>
              <w:bottom w:w="180" w:type="dxa"/>
              <w:end w:w="220" w:type="dxa"/>
            </w:tcMar>
          </w:tcPr>
          <w:p>
            <w:pPr>
              <w:spacing w:after="60"/>
            </w:pPr>
            <w:r>
              <w:rPr>
                <w:rFonts w:ascii="Helvetica Neue" w:hAnsi="Helvetica Neue"/>
                <w:b/>
                <w:i w:val="0"/>
                <w:caps/>
                <w:color w:val="9A7555"/>
                <w:sz w:val="14"/>
              </w:rPr>
              <w:t>FREIGABEGATE</w:t>
            </w:r>
          </w:p>
          <w:p>
            <w:pPr>
              <w:spacing w:after="80"/>
            </w:pPr>
            <w:r>
              <w:rPr>
                <w:rFonts w:ascii="Baskerville" w:hAnsi="Baskerville"/>
                <w:b w:val="0"/>
                <w:i w:val="0"/>
                <w:color w:val="1D2421"/>
                <w:sz w:val="30"/>
              </w:rPr>
              <w:t>Erst veröffentlichen, wenn die Kerndaten belegbar sind</w:t>
            </w:r>
          </w:p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8"/>
              </w:rPr>
              <w:t>Fläche, Kaufpreis, Hausgeld, Garage, Energieangaben und Dachstudio müssen zwischen Exposé, Website, Grundriss und Originalunterlagen widerspruchsfrei sein.</w:t>
            </w:r>
          </w:p>
        </w:tc>
      </w:tr>
    </w:tbl>
    <w:p>
      <w:r>
        <w:br w:type="page"/>
      </w:r>
    </w:p>
    <w:p>
      <w:pPr>
        <w:keepNext/>
        <w:spacing w:before="0" w:after="80"/>
      </w:pPr>
      <w:r>
        <w:rPr>
          <w:rFonts w:ascii="Helvetica Neue" w:hAnsi="Helvetica Neue"/>
          <w:b/>
          <w:i w:val="0"/>
          <w:caps/>
          <w:color w:val="9A7555"/>
          <w:sz w:val="15"/>
        </w:rPr>
        <w:t>B · WEG &amp; FINANZEN</w:t>
      </w:r>
    </w:p>
    <w:p>
      <w:pPr>
        <w:pStyle w:val="Heading1"/>
      </w:pPr>
      <w:r>
        <w:t>Transparenz zur Eigentümergemeinschaft</w:t>
      </w:r>
    </w:p>
    <w:p>
      <w:pPr>
        <w:keepNext w:val="0"/>
        <w:spacing w:before="0" w:after="140"/>
      </w:pPr>
      <w:r>
        <w:rPr>
          <w:rFonts w:ascii="Helvetica Neue" w:hAnsi="Helvetica Neue"/>
          <w:b w:val="0"/>
          <w:i w:val="0"/>
          <w:color w:val="68746C"/>
          <w:sz w:val="17"/>
        </w:rPr>
        <w:t>Käufer und finanzierende Banken achten besonders auf laufende Kosten, Rücklagen, Beschlüsse und absehbare Maßnahmen. Personenbezogene Daten vor einer breiten Verteilung datenschutzgerecht reduzieren.</w:t>
      </w:r>
    </w:p>
    <w:p>
      <w:pPr>
        <w:spacing w:after="160"/>
      </w:pPr>
      <w:r>
        <w:rPr>
          <w:rFonts w:ascii="Helvetica Neue" w:hAnsi="Helvetica Neue"/>
          <w:b/>
          <w:i w:val="0"/>
          <w:color w:val="9A7555"/>
          <w:sz w:val="14"/>
        </w:rPr>
        <w:t xml:space="preserve">STATUS </w:t>
      </w:r>
      <w:r>
        <w:rPr>
          <w:rFonts w:ascii="Helvetica Neue" w:hAnsi="Helvetica Neue"/>
          <w:b w:val="0"/>
          <w:i w:val="0"/>
          <w:color w:val="68746C"/>
          <w:sz w:val="15"/>
        </w:rPr>
        <w:t>A = angefordert   ·   E = erhalten   ·   P = geprüft   ·   □ = bitte markieren</w:t>
      </w:r>
    </w:p>
    <w:tbl>
      <w:tblPr>
        <w:tblW w:type="dxa" w:w="9971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DED8CE"/>
          <w:left w:val="single" w:sz="4" w:color="DED8CE"/>
          <w:bottom w:val="single" w:sz="4" w:color="DED8CE"/>
          <w:right w:val="single" w:sz="4" w:color="DED8CE"/>
          <w:insideH w:val="single" w:sz="4" w:color="DED8CE"/>
          <w:insideV w:val="single" w:sz="4" w:color="DED8CE"/>
        </w:tblBorders>
      </w:tblPr>
      <w:tblGrid>
        <w:gridCol w:w="720"/>
        <w:gridCol w:w="5000"/>
        <w:gridCol w:w="2600"/>
        <w:gridCol w:w="1651"/>
      </w:tblGrid>
      <w:tr>
        <w:trPr>
          <w:tblHeader w:val="true"/>
          <w:tblHeader w:val="true"/>
        </w:trPr>
        <w:tc>
          <w:tcPr>
            <w:tcW w:type="dxa" w:w="72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NR.</w:t>
            </w:r>
          </w:p>
        </w:tc>
        <w:tc>
          <w:tcPr>
            <w:tcW w:type="dxa" w:w="500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UNTERLAGE / PRÜFINHALT</w:t>
            </w:r>
          </w:p>
        </w:tc>
        <w:tc>
          <w:tcPr>
            <w:tcW w:type="dxa" w:w="260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TYPISCHE QUELLE</w:t>
            </w:r>
          </w:p>
        </w:tc>
        <w:tc>
          <w:tcPr>
            <w:tcW w:type="dxa" w:w="1651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09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Protokolle der Eigentümerversammlungen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Mindestens die letzten drei Jahre; angekündigte Maßnahmen, Streitpunkte und Sonderumlagen markieren.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10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Beschlusssammlung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Aktuelle Fassung nach § 24 Abs. 7 WEG; laufende und erledigte Beschlüsse nachvollziehbar halten.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11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Aktueller Wirtschaftsplan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Gesamt- und Einzelwirtschaftsplan; Vorschüsse, Rücklagenzuführung und Kostenverteilung prüfen.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12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Jahresabrechnungen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Letzte drei abgeschlossene Jahre, jeweils Gesamt- und Einzelabrechnung inklusive Abrechnungsspitze.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13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Aktueller Vermögensbericht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Stand der Erhaltungsrücklage und wesentliche Vermögenspositionen der Gemeinschaft.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14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Hausgeld-Aufschlüsselung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Aktuell 340 € laut Exposé: umlagefähige, nicht umlagefähige Bestandteile und Rücklagenanteil belegen.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15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Sonderumlagen &amp; Zahlungsstatus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Beschlossene, geplante oder diskutierte Sonderumlagen sowie mögliche Hausgeldrückstände schriftlich klären.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 / Eigentümer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16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Verwaltervertrag &amp; Kontaktdaten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Laufzeit, Vertretungsberechtigung und zuständige Kontaktperson für Notariat und Käuferseite.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17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Instandhaltungs- und Maßnahmenübersicht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Erfolgte und geplante Arbeiten an Dach, Fassade, Heizung, Fenstern, Leitungen und Gemeinschaftsflächen.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18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Gebäudeversicherung / Schadenhistorie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Versicherungsschein oder Bestätigung sowie relevante offene bzw. regulierte Gebäudeschäden.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WEG-Verwaltung / Versicherer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</w:tbl>
    <w:p>
      <w:r>
        <w:br w:type="page"/>
      </w:r>
    </w:p>
    <w:p>
      <w:pPr>
        <w:keepNext/>
        <w:spacing w:before="0" w:after="80"/>
      </w:pPr>
      <w:r>
        <w:rPr>
          <w:rFonts w:ascii="Helvetica Neue" w:hAnsi="Helvetica Neue"/>
          <w:b/>
          <w:i w:val="0"/>
          <w:caps/>
          <w:color w:val="9A7555"/>
          <w:sz w:val="15"/>
        </w:rPr>
        <w:t>C · OBJEKT, NOTAR &amp; ÜBERGABE</w:t>
      </w:r>
    </w:p>
    <w:p>
      <w:pPr>
        <w:pStyle w:val="Heading1"/>
      </w:pPr>
      <w:r>
        <w:t>Vom Nachweis bis zur Schlüsselübergabe</w:t>
      </w:r>
    </w:p>
    <w:p>
      <w:pPr>
        <w:keepNext w:val="0"/>
        <w:spacing w:before="0" w:after="140"/>
      </w:pPr>
      <w:r>
        <w:rPr>
          <w:rFonts w:ascii="Helvetica Neue" w:hAnsi="Helvetica Neue"/>
          <w:b w:val="0"/>
          <w:i w:val="0"/>
          <w:color w:val="68746C"/>
          <w:sz w:val="17"/>
        </w:rPr>
        <w:t>Die folgenden Unterlagen reduzieren Rückfragen im Kaufprozess und ermöglichen eine saubere notarielle Vorbereitung sowie eine nachvollziehbare Übergabe.</w:t>
      </w:r>
    </w:p>
    <w:p>
      <w:pPr>
        <w:spacing w:after="160"/>
      </w:pPr>
      <w:r>
        <w:rPr>
          <w:rFonts w:ascii="Helvetica Neue" w:hAnsi="Helvetica Neue"/>
          <w:b/>
          <w:i w:val="0"/>
          <w:color w:val="9A7555"/>
          <w:sz w:val="14"/>
        </w:rPr>
        <w:t xml:space="preserve">STATUS </w:t>
      </w:r>
      <w:r>
        <w:rPr>
          <w:rFonts w:ascii="Helvetica Neue" w:hAnsi="Helvetica Neue"/>
          <w:b w:val="0"/>
          <w:i w:val="0"/>
          <w:color w:val="68746C"/>
          <w:sz w:val="15"/>
        </w:rPr>
        <w:t>A = angefordert   ·   E = erhalten   ·   P = geprüft   ·   □ = bitte markieren</w:t>
      </w:r>
    </w:p>
    <w:tbl>
      <w:tblPr>
        <w:tblW w:type="dxa" w:w="9971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4" w:color="DED8CE"/>
          <w:left w:val="single" w:sz="4" w:color="DED8CE"/>
          <w:bottom w:val="single" w:sz="4" w:color="DED8CE"/>
          <w:right w:val="single" w:sz="4" w:color="DED8CE"/>
          <w:insideH w:val="single" w:sz="4" w:color="DED8CE"/>
          <w:insideV w:val="single" w:sz="4" w:color="DED8CE"/>
        </w:tblBorders>
      </w:tblPr>
      <w:tblGrid>
        <w:gridCol w:w="720"/>
        <w:gridCol w:w="5000"/>
        <w:gridCol w:w="2600"/>
        <w:gridCol w:w="1651"/>
      </w:tblGrid>
      <w:tr>
        <w:trPr>
          <w:tblHeader w:val="true"/>
          <w:tblHeader w:val="true"/>
        </w:trPr>
        <w:tc>
          <w:tcPr>
            <w:tcW w:type="dxa" w:w="72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NR.</w:t>
            </w:r>
          </w:p>
        </w:tc>
        <w:tc>
          <w:tcPr>
            <w:tcW w:type="dxa" w:w="500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UNTERLAGE / PRÜFINHALT</w:t>
            </w:r>
          </w:p>
        </w:tc>
        <w:tc>
          <w:tcPr>
            <w:tcW w:type="dxa" w:w="2600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TYPISCHE QUELLE</w:t>
            </w:r>
          </w:p>
        </w:tc>
        <w:tc>
          <w:tcPr>
            <w:tcW w:type="dxa" w:w="1651"/>
            <w:shd w:fill="1D2421"/>
            <w:tcMar>
              <w:top w:w="120" w:type="dxa"/>
              <w:start w:w="120" w:type="dxa"/>
              <w:bottom w:w="11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/>
                <w:i w:val="0"/>
                <w:color w:val="FFFFFF"/>
                <w:sz w:val="13"/>
              </w:rPr>
              <w:t>STATUS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19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Modernisierungs- und Handwerkerbelege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Rechnungen, Garantien und Produktunterlagen zu Bad, Küche, Heizung, Fenstern und sonstigen Arbeiten.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Fachbetriebe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20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Technische Wartungsnachweise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Heizung, Schornsteinfeger, ggf. Rauchwarnmelder und sonstige objektbezogene Wartungen.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Verwaltung / Fachbetriebe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21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Betriebs- und Verbrauchsdaten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Verfügbare Heiz- und Betriebskosteninformationen der letzten Jahre; nur objektbezogen und plausibilisiert verteilen.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Verwaltung / Versorger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22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Zuordnungen Keller &amp; Garage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Lage, Nummer und rechtliche Zuordnung gegen Aufteilungsplan, Grundbuch und Teilungserklärung prüfen.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Verwaltung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23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Grundsteuer &amp; Katasterangaben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Aktueller Grundsteuerbescheid; Flurstück und Liegenschaftsangaben bei Bedarf ergänzen.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Finanzamt / Kataster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24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Nutzungs- / Mietstatus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Bei Eigennutzung: Übergabezustand und Verfügbarkeit. Bei Vermietung: Mietvertrag, Nachträge, Kaution und Abrechnungen.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25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Persönliche Notariatsunterlagen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Ausweise, Familienstand, Steuer-Identifikationsnummern, Anschriften und ggf. Vollmachten bereithalten.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Verkäufer / Notariat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26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Belastungen &amp; Löschungsunterlagen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Finanzierende Bank, Darlehensnummern und Unterlagen zur Lastenfreistellung frühzeitig an das Notariat geben.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Verkäufer / Bank / Notariat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27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Inventar- und Übernahmeliste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Küche, Einbauten, Leuchten und bewegliches Inventar eindeutig als enthalten, optional oder ausgeschlossen kennzeichnen.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Makler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FFF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  <w:tr>
        <w:trPr>
          <w:cantSplit/>
        </w:trPr>
        <w:tc>
          <w:tcPr>
            <w:tcW w:type="dxa" w:w="7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Baskerville" w:hAnsi="Baskerville"/>
                <w:b w:val="0"/>
                <w:i w:val="0"/>
                <w:color w:val="9A7555"/>
                <w:sz w:val="21"/>
              </w:rPr>
              <w:t>28</w:t>
            </w:r>
          </w:p>
        </w:tc>
        <w:tc>
          <w:tcPr>
            <w:tcW w:type="dxa" w:w="5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40"/>
            </w:pPr>
            <w:r>
              <w:rPr>
                <w:rFonts w:ascii="Helvetica Neue" w:hAnsi="Helvetica Neue"/>
                <w:b/>
                <w:i w:val="0"/>
                <w:color w:val="1D2421"/>
                <w:sz w:val="17"/>
              </w:rPr>
              <w:t>Übergabeprotokoll &amp; Schlüsselplan</w:t>
            </w:r>
          </w:p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68746C"/>
                <w:sz w:val="14"/>
              </w:rPr>
              <w:t>Zählerstände, Schlüsselanzahl, Zustand, übergebene Unterlagen und offene Punkte vorab als Vorlage vorbereiten.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 w:line="259" w:lineRule="auto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5"/>
              </w:rPr>
              <w:t>Eigentümer / Makler</w:t>
            </w:r>
          </w:p>
        </w:tc>
        <w:tc>
          <w:tcPr>
            <w:tcW w:type="dxa" w:w="16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0ECE4"/>
          </w:tcPr>
          <w:p>
            <w:pPr>
              <w:spacing w:after="0"/>
              <w:jc w:val="center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6"/>
              </w:rPr>
              <w:t>□ A   □ E</w:t>
              <w:br/>
              <w:t>□ P</w:t>
            </w:r>
          </w:p>
        </w:tc>
      </w:tr>
    </w:tbl>
    <w:tbl>
      <w:tblPr>
        <w:tblW w:type="dxa" w:w="9971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2" w:color="E7E6E0"/>
          <w:left w:val="single" w:sz="2" w:color="E7E6E0"/>
          <w:bottom w:val="single" w:sz="2" w:color="E7E6E0"/>
          <w:right w:val="single" w:sz="2" w:color="E7E6E0"/>
          <w:insideH w:val="single" w:sz="2" w:color="E7E6E0"/>
          <w:insideV w:val="single" w:sz="2" w:color="E7E6E0"/>
        </w:tblBorders>
      </w:tblPr>
      <w:tblGrid>
        <w:gridCol w:w="9971"/>
      </w:tblGrid>
      <w:tr>
        <w:trPr>
          <w:tblHeader w:val="true"/>
        </w:trPr>
        <w:tc>
          <w:tcPr>
            <w:tcW w:type="dxa" w:w="9971"/>
            <w:shd w:fill="E7E6E0"/>
            <w:tcMar>
              <w:top w:w="190" w:type="dxa"/>
              <w:start w:w="220" w:type="dxa"/>
              <w:bottom w:w="180" w:type="dxa"/>
              <w:end w:w="220" w:type="dxa"/>
            </w:tcMar>
          </w:tcPr>
          <w:p>
            <w:pPr>
              <w:spacing w:after="60"/>
            </w:pPr>
            <w:r>
              <w:rPr>
                <w:rFonts w:ascii="Helvetica Neue" w:hAnsi="Helvetica Neue"/>
                <w:b/>
                <w:i w:val="0"/>
                <w:caps/>
                <w:color w:val="9A7555"/>
                <w:sz w:val="14"/>
              </w:rPr>
              <w:t>VERTEILUNG</w:t>
            </w:r>
          </w:p>
          <w:p>
            <w:pPr>
              <w:spacing w:after="80"/>
            </w:pPr>
            <w:r>
              <w:rPr>
                <w:rFonts w:ascii="Baskerville" w:hAnsi="Baskerville"/>
                <w:b w:val="0"/>
                <w:i w:val="0"/>
                <w:color w:val="1D2421"/>
                <w:sz w:val="30"/>
              </w:rPr>
              <w:t>Eine geprüfte Käufermappe statt vieler Einzeldateien</w:t>
            </w:r>
          </w:p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1D2421"/>
                <w:sz w:val="18"/>
              </w:rPr>
              <w:t>Empfohlen sind eine klare Ordnerstruktur, ein Versionsdatum und eine Inhaltsübersicht. Persönliche Daten, Kontonummern, Unterschriften und nicht erforderliche Angaben vor Weitergabe schwärzen.</w:t>
            </w:r>
          </w:p>
        </w:tc>
      </w:tr>
    </w:tbl>
    <w:p>
      <w:pPr>
        <w:keepNext w:val="0"/>
        <w:spacing w:before="140" w:after="60"/>
      </w:pPr>
      <w:r>
        <w:rPr>
          <w:rFonts w:ascii="Helvetica Neue" w:hAnsi="Helvetica Neue"/>
          <w:b/>
          <w:i w:val="0"/>
          <w:color w:val="9A7555"/>
          <w:sz w:val="14"/>
        </w:rPr>
        <w:t>RECHTLICHER RAHMEN</w:t>
      </w:r>
    </w:p>
    <w:p>
      <w:pPr>
        <w:keepNext w:val="0"/>
        <w:spacing w:before="0" w:after="40"/>
      </w:pPr>
      <w:r>
        <w:rPr>
          <w:rFonts w:ascii="Helvetica Neue" w:hAnsi="Helvetica Neue"/>
          <w:b w:val="0"/>
          <w:i w:val="0"/>
          <w:color w:val="68746C"/>
          <w:sz w:val="14"/>
        </w:rPr>
        <w:t>GEG §§ 80 und 87 (Energieausweis und Pflichtangaben in Immobilienanzeigen) · WEG §§ 24 Abs. 7 und 28 (Beschlusssammlung, Wirtschaftsplan, Jahresabrechnung, Vermögensbericht) · GBO § 12 (Grundbucheinsicht) · BGB § 311b (notarielle Beurkundung).</w:t>
      </w:r>
    </w:p>
    <w:p>
      <w:pPr>
        <w:keepNext w:val="0"/>
        <w:spacing w:before="0" w:after="40"/>
      </w:pPr>
      <w:r>
        <w:rPr>
          <w:rFonts w:ascii="Helvetica Neue" w:hAnsi="Helvetica Neue"/>
          <w:b w:val="0"/>
          <w:i w:val="0"/>
          <w:color w:val="68746C"/>
          <w:sz w:val="13"/>
        </w:rPr>
        <w:t>Amtliche Quellen: gesetze-im-internet.de/geg · gesetze-im-internet.de/woeigg · gesetze-im-internet.de/gbo · gesetze-im-internet.de/bgb</w:t>
      </w:r>
    </w:p>
    <w:p>
      <w:pPr>
        <w:keepNext w:val="0"/>
        <w:spacing w:before="0" w:after="0"/>
      </w:pPr>
      <w:r>
        <w:rPr>
          <w:rFonts w:ascii="Helvetica Neue" w:hAnsi="Helvetica Neue"/>
          <w:b w:val="0"/>
          <w:i/>
          <w:color w:val="68746C"/>
          <w:sz w:val="13"/>
        </w:rPr>
        <w:t>Hinweis: Diese Arbeitscheckliste ersetzt keine rechtliche, steuerliche, bautechnische oder notarielle Beratung. Anforderungen können je nach Objekt, Grundbuchlage, Finanzierung und Notariat abweichen.</w:t>
      </w:r>
    </w:p>
    <w:sectPr w:rsidR="00FC693F" w:rsidRPr="0006063C" w:rsidSect="00034616">
      <w:headerReference w:type="first" r:id="rId9"/>
      <w:footerReference w:type="first" r:id="rId10"/>
      <w:footerReference w:type="default" r:id="rId11"/>
      <w:pgSz w:w="11906" w:h="16838"/>
      <w:pgMar w:top="765" w:right="907" w:bottom="709" w:left="907" w:header="312" w:footer="312" w:gutter="0"/>
      <w:cols w:space="720"/>
      <w:titlePg/>
      <w:docGrid w:linePitch="360"/>
      <w:shd w:fill="FBFAF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35" w:val="left"/>
      </w:tabs>
      <w:jc w:val="right"/>
    </w:pPr>
    <w:r>
      <w:rPr>
        <w:rFonts w:ascii="Helvetica Neue" w:hAnsi="Helvetica Neue"/>
        <w:b/>
        <w:i w:val="0"/>
        <w:color w:val="68746C"/>
        <w:sz w:val="13"/>
      </w:rPr>
      <w:t>DOKUMENTEN-CHECKLISTE · MAISONETTE KORNELIMÜNSTER</w:t>
    </w:r>
    <w:r>
      <w:tab/>
    </w:r>
    <w:r>
      <w:rPr>
        <w:rFonts w:ascii="Helvetica Neue" w:hAnsi="Helvetica Neue"/>
        <w:b w:val="0"/>
        <w:i w:val="0"/>
        <w:color w:val="68746C"/>
        <w:sz w:val="15"/>
      </w:rP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Rule="auto" w:line="283"/>
    </w:pPr>
    <w:rPr>
      <w:rFonts w:ascii="Helvetica Neue" w:hAnsi="Helvetica Neue"/>
      <w:color w:val="1D242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Baskerville" w:hAnsi="Baskerville"/>
      <w:b w:val="0"/>
      <w:bCs/>
      <w:color w:val="1D2421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Baskerville" w:hAnsi="Baskerville"/>
      <w:b w:val="0"/>
      <w:bCs/>
      <w:color w:val="1D242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Baskerville" w:hAnsi="Baskerville"/>
      <w:b w:val="0"/>
      <w:bCs/>
      <w:color w:val="1D242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Dokumenten-Checkliste Maisonette Kornelimünster</dc:title>
  <dc:subject>Verkaufsunterlagen, WEG-Unterlagen und Notariatsvorbereitung</dc:subject>
  <dc:creator/>
  <cp:keywords>Immobilienverkauf, Checkliste, Energieausweis, WEG, Kornelimünster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