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0" w:after="100"/>
      </w:pPr>
      <w:r>
        <w:rPr>
          <w:rFonts w:ascii="Helvetica Neue" w:hAnsi="Helvetica Neue"/>
          <w:b/>
          <w:i w:val="0"/>
          <w:color w:val="9A7555"/>
          <w:sz w:val="15"/>
        </w:rPr>
        <w:t>OBJEKTPORTRAIT · AACHEN-KORNELIMÜNSTER</w:t>
      </w:r>
    </w:p>
    <w:p>
      <w:pPr>
        <w:keepNext w:val="0"/>
        <w:spacing w:after="0"/>
        <w:jc w:val="center"/>
      </w:pPr>
      <w:r>
        <w:drawing>
          <wp:inline xmlns:a="http://schemas.openxmlformats.org/drawingml/2006/main" xmlns:pic="http://schemas.openxmlformats.org/drawingml/2006/picture">
            <wp:extent cx="6408000" cy="4806000"/>
            <wp:docPr id="1" name="Picture 1" descr="Lichtdurchfluteter Wohn- und Essbereich mit großer Fensterfront und direktem Zugang zum Balkon." title="Lichtdurchfluteter Wohn- und Essbereich mit großer Fensterfront und direktem Zugang zum Balkon."/>
            <wp:cNvGraphicFramePr>
              <a:graphicFrameLocks noChangeAspect="1"/>
            </wp:cNvGraphicFramePr>
            <a:graphic>
              <a:graphicData uri="http://schemas.openxmlformats.org/drawingml/2006/picture">
                <pic:pic>
                  <pic:nvPicPr>
                    <pic:cNvPr id="0" name="01_wohn_essbereich_hero.jpg"/>
                    <pic:cNvPicPr/>
                  </pic:nvPicPr>
                  <pic:blipFill>
                    <a:blip r:embed="rId12"/>
                    <a:stretch>
                      <a:fillRect/>
                    </a:stretch>
                  </pic:blipFill>
                  <pic:spPr>
                    <a:xfrm>
                      <a:off x="0" y="0"/>
                      <a:ext cx="6408000" cy="4806000"/>
                    </a:xfrm>
                    <a:prstGeom prst="rect"/>
                  </pic:spPr>
                </pic:pic>
              </a:graphicData>
            </a:graphic>
          </wp:inline>
        </w:drawing>
      </w:r>
    </w:p>
    <w:p>
      <w:pPr>
        <w:keepNext w:val="0"/>
        <w:spacing w:before="240" w:after="100"/>
      </w:pPr>
      <w:r>
        <w:rPr>
          <w:rFonts w:ascii="Helvetica Neue" w:hAnsi="Helvetica Neue"/>
          <w:b/>
          <w:i w:val="0"/>
          <w:color w:val="9A7555"/>
          <w:sz w:val="15"/>
        </w:rPr>
        <w:t>WOHNEN MIT WEITE</w:t>
      </w:r>
    </w:p>
    <w:p>
      <w:pPr>
        <w:pStyle w:val="Title"/>
      </w:pPr>
      <w:r>
        <w:rPr>
          <w:rFonts w:ascii="Baskerville" w:hAnsi="Baskerville"/>
          <w:b w:val="0"/>
          <w:color w:val="1D2421"/>
          <w:sz w:val="58"/>
        </w:rPr>
        <w:t>Lichtdurchflutete Maisonette</w:t>
        <w:br/>
        <w:t>mit privatem Dachstudio</w:t>
      </w:r>
    </w:p>
    <w:p>
      <w:pPr>
        <w:keepNext w:val="0"/>
        <w:spacing w:before="0" w:after="200"/>
      </w:pPr>
      <w:r>
        <w:rPr>
          <w:rFonts w:ascii="Helvetica Neue" w:hAnsi="Helvetica Neue"/>
          <w:b w:val="0"/>
          <w:i w:val="0"/>
          <w:color w:val="68746C"/>
          <w:sz w:val="20"/>
        </w:rPr>
        <w:t>4 Zimmer · ca. 105 m² · Südwestbalkon · Garage</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2523"/>
        <w:gridCol w:w="2523"/>
        <w:gridCol w:w="2523"/>
        <w:gridCol w:w="2523"/>
      </w:tblGrid>
      <w:tr>
        <w:trPr>
          <w:tblHeader w:val="true"/>
        </w:trPr>
        <w:tc>
          <w:tcPr>
            <w:tcW w:type="dxa" w:w="2523"/>
            <w:shd w:fill="F5F1EA"/>
            <w:tcMar>
              <w:top w:w="160" w:type="dxa"/>
              <w:start w:w="150" w:type="dxa"/>
              <w:bottom w:w="140" w:type="dxa"/>
              <w:end w:w="150" w:type="dxa"/>
            </w:tcMar>
            <w:vAlign w:val="center"/>
          </w:tcPr>
          <w:p>
            <w:pPr>
              <w:spacing w:after="40"/>
              <w:jc w:val="center"/>
            </w:pPr>
            <w:r>
              <w:rPr>
                <w:rFonts w:ascii="Baskerville" w:hAnsi="Baskerville"/>
                <w:color w:val="1D2421"/>
                <w:sz w:val="34"/>
              </w:rPr>
              <w:t>379.000 €</w:t>
            </w:r>
          </w:p>
          <w:p>
            <w:pPr>
              <w:spacing w:after="0"/>
              <w:jc w:val="center"/>
            </w:pPr>
            <w:r>
              <w:rPr>
                <w:rFonts w:ascii="Helvetica Neue" w:hAnsi="Helvetica Neue"/>
                <w:b/>
                <w:color w:val="68746C"/>
                <w:sz w:val="13"/>
              </w:rPr>
              <w:t>INKLUSIVE GARAGE</w:t>
            </w:r>
          </w:p>
        </w:tc>
        <w:tc>
          <w:tcPr>
            <w:tcW w:type="dxa" w:w="2523"/>
            <w:shd w:fill="F5F1EA"/>
            <w:tcMar>
              <w:top w:w="160" w:type="dxa"/>
              <w:start w:w="150" w:type="dxa"/>
              <w:bottom w:w="140" w:type="dxa"/>
              <w:end w:w="150" w:type="dxa"/>
            </w:tcMar>
            <w:vAlign w:val="center"/>
          </w:tcPr>
          <w:p>
            <w:pPr>
              <w:spacing w:after="40"/>
              <w:jc w:val="center"/>
            </w:pPr>
            <w:r>
              <w:rPr>
                <w:rFonts w:ascii="Baskerville" w:hAnsi="Baskerville"/>
                <w:color w:val="1D2421"/>
                <w:sz w:val="34"/>
              </w:rPr>
              <w:t>ca. 105 m²</w:t>
            </w:r>
          </w:p>
          <w:p>
            <w:pPr>
              <w:spacing w:after="0"/>
              <w:jc w:val="center"/>
            </w:pPr>
            <w:r>
              <w:rPr>
                <w:rFonts w:ascii="Helvetica Neue" w:hAnsi="Helvetica Neue"/>
                <w:b/>
                <w:color w:val="68746C"/>
                <w:sz w:val="13"/>
              </w:rPr>
              <w:t>WOHNFLÄCHE NACH WOFLV</w:t>
            </w:r>
          </w:p>
        </w:tc>
        <w:tc>
          <w:tcPr>
            <w:tcW w:type="dxa" w:w="2523"/>
            <w:shd w:fill="F5F1EA"/>
            <w:tcMar>
              <w:top w:w="160" w:type="dxa"/>
              <w:start w:w="150" w:type="dxa"/>
              <w:bottom w:w="140" w:type="dxa"/>
              <w:end w:w="150" w:type="dxa"/>
            </w:tcMar>
            <w:vAlign w:val="center"/>
          </w:tcPr>
          <w:p>
            <w:pPr>
              <w:spacing w:after="40"/>
              <w:jc w:val="center"/>
            </w:pPr>
            <w:r>
              <w:rPr>
                <w:rFonts w:ascii="Baskerville" w:hAnsi="Baskerville"/>
                <w:color w:val="1D2421"/>
                <w:sz w:val="34"/>
              </w:rPr>
              <w:t>4</w:t>
            </w:r>
          </w:p>
          <w:p>
            <w:pPr>
              <w:spacing w:after="0"/>
              <w:jc w:val="center"/>
            </w:pPr>
            <w:r>
              <w:rPr>
                <w:rFonts w:ascii="Helvetica Neue" w:hAnsi="Helvetica Neue"/>
                <w:b/>
                <w:color w:val="68746C"/>
                <w:sz w:val="13"/>
              </w:rPr>
              <w:t>ZIMMER</w:t>
            </w:r>
          </w:p>
        </w:tc>
        <w:tc>
          <w:tcPr>
            <w:tcW w:type="dxa" w:w="2523"/>
            <w:shd w:fill="F5F1EA"/>
            <w:tcMar>
              <w:top w:w="160" w:type="dxa"/>
              <w:start w:w="150" w:type="dxa"/>
              <w:bottom w:w="140" w:type="dxa"/>
              <w:end w:w="150" w:type="dxa"/>
            </w:tcMar>
            <w:vAlign w:val="center"/>
          </w:tcPr>
          <w:p>
            <w:pPr>
              <w:spacing w:after="40"/>
              <w:jc w:val="center"/>
            </w:pPr>
            <w:r>
              <w:rPr>
                <w:rFonts w:ascii="Baskerville" w:hAnsi="Baskerville"/>
                <w:color w:val="1D2421"/>
                <w:sz w:val="34"/>
              </w:rPr>
              <w:t>2</w:t>
            </w:r>
          </w:p>
          <w:p>
            <w:pPr>
              <w:spacing w:after="0"/>
              <w:jc w:val="center"/>
            </w:pPr>
            <w:r>
              <w:rPr>
                <w:rFonts w:ascii="Helvetica Neue" w:hAnsi="Helvetica Neue"/>
                <w:b/>
                <w:color w:val="68746C"/>
                <w:sz w:val="13"/>
              </w:rPr>
              <w:t>WOHNEBENEN</w:t>
            </w:r>
          </w:p>
        </w:tc>
      </w:tr>
    </w:tbl>
    <w:p>
      <w:r>
        <w:br w:type="page"/>
      </w:r>
    </w:p>
    <w:p>
      <w:pPr>
        <w:keepNext/>
        <w:spacing w:before="0" w:after="100"/>
      </w:pPr>
      <w:r>
        <w:rPr>
          <w:rFonts w:ascii="Helvetica Neue" w:hAnsi="Helvetica Neue"/>
          <w:b/>
          <w:i w:val="0"/>
          <w:color w:val="9A7555"/>
          <w:sz w:val="15"/>
        </w:rPr>
        <w:t>DIE ESSENZ</w:t>
      </w:r>
    </w:p>
    <w:p>
      <w:pPr>
        <w:pStyle w:val="Heading1"/>
        <w:spacing w:after="160"/>
      </w:pPr>
      <w:r>
        <w:rPr>
          <w:rFonts w:ascii="Baskerville" w:hAnsi="Baskerville"/>
          <w:b w:val="0"/>
          <w:color w:val="1D2421"/>
          <w:sz w:val="48"/>
        </w:rPr>
        <w:t>Ein Zuhause, das Großzügigkeit leise inszeniert</w:t>
      </w:r>
    </w:p>
    <w:p>
      <w:pPr>
        <w:keepNext w:val="0"/>
        <w:spacing w:before="0" w:after="200"/>
      </w:pPr>
      <w:r>
        <w:rPr>
          <w:rFonts w:ascii="Baskerville" w:hAnsi="Baskerville"/>
          <w:b w:val="0"/>
          <w:i/>
          <w:color w:val="9A7555"/>
          <w:sz w:val="32"/>
        </w:rPr>
        <w:t>„Licht, klare Linien und eine überraschende zweite Ebene bilden den Charakter dieser Wohnung.“</w:t>
      </w:r>
    </w:p>
    <w:p>
      <w:pPr>
        <w:spacing w:after="140"/>
        <w:jc w:val="both"/>
      </w:pPr>
      <w:r>
        <w:t>Diese gepflegte 4-Zimmer-Maisonette verbindet einen weitläufigen Wohn- und Essbereich mit einem privaten Dachstudio von rund 30 m². Die breite Fensterfront öffnet den Raum zum begrünten Südwestbalkon; das obere Geschoss schafft einen eigenständigen Rückzugsort mit viel Stauraum und vielseitiger Nutzbarkeit.</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3364"/>
        <w:gridCol w:w="3364"/>
        <w:gridCol w:w="3364"/>
      </w:tblGrid>
      <w:tr>
        <w:trPr>
          <w:tblHeader w:val="true"/>
        </w:trPr>
        <w:tc>
          <w:tcPr>
            <w:tcW w:type="dxa" w:w="3364"/>
            <w:tcMar>
              <w:top w:w="80" w:type="dxa"/>
              <w:start w:w="130" w:type="dxa"/>
              <w:bottom w:w="80" w:type="dxa"/>
              <w:end w:w="130" w:type="dxa"/>
            </w:tcMar>
          </w:tcPr>
          <w:p>
            <w:pPr>
              <w:spacing w:after="80"/>
            </w:pPr>
            <w:r>
              <w:rPr>
                <w:rFonts w:ascii="Baskerville" w:hAnsi="Baskerville"/>
                <w:color w:val="9A7555"/>
                <w:sz w:val="26"/>
              </w:rPr>
              <w:t>Licht &amp; Offenheit</w:t>
            </w:r>
          </w:p>
          <w:p>
            <w:pPr>
              <w:spacing w:after="0" w:line="269" w:lineRule="auto"/>
            </w:pPr>
            <w:r>
              <w:t>Die große Fensterfront prägt den Wohnbereich und führt unmittelbar auf den Balkon.</w:t>
            </w:r>
          </w:p>
        </w:tc>
        <w:tc>
          <w:tcPr>
            <w:tcW w:type="dxa" w:w="3364"/>
            <w:tcMar>
              <w:top w:w="80" w:type="dxa"/>
              <w:start w:w="130" w:type="dxa"/>
              <w:bottom w:w="80" w:type="dxa"/>
              <w:end w:w="130" w:type="dxa"/>
            </w:tcMar>
          </w:tcPr>
          <w:p>
            <w:pPr>
              <w:spacing w:after="80"/>
            </w:pPr>
            <w:r>
              <w:rPr>
                <w:rFonts w:ascii="Baskerville" w:hAnsi="Baskerville"/>
                <w:color w:val="9A7555"/>
                <w:sz w:val="26"/>
              </w:rPr>
              <w:t>Zwei Ebenen</w:t>
            </w:r>
          </w:p>
          <w:p>
            <w:pPr>
              <w:spacing w:after="0" w:line="269" w:lineRule="auto"/>
            </w:pPr>
            <w:r>
              <w:t>Wohnen auf der Hauptebene, Rückzug und Ruhe im offen gestalteten Dachstudio.</w:t>
            </w:r>
          </w:p>
        </w:tc>
        <w:tc>
          <w:tcPr>
            <w:tcW w:type="dxa" w:w="3364"/>
            <w:tcMar>
              <w:top w:w="80" w:type="dxa"/>
              <w:start w:w="130" w:type="dxa"/>
              <w:bottom w:w="80" w:type="dxa"/>
              <w:end w:w="130" w:type="dxa"/>
            </w:tcMar>
          </w:tcPr>
          <w:p>
            <w:pPr>
              <w:spacing w:after="80"/>
            </w:pPr>
            <w:r>
              <w:rPr>
                <w:rFonts w:ascii="Baskerville" w:hAnsi="Baskerville"/>
                <w:color w:val="9A7555"/>
                <w:sz w:val="26"/>
              </w:rPr>
              <w:t>Komfort</w:t>
            </w:r>
          </w:p>
          <w:p>
            <w:pPr>
              <w:spacing w:after="0" w:line="269" w:lineRule="auto"/>
            </w:pPr>
            <w:r>
              <w:t>Renoviertes Tageslichtbad, Fußbodenheizung, eigener Kellerraum und Garage.</w:t>
            </w:r>
          </w:p>
        </w:tc>
      </w:tr>
    </w:tbl>
    <w:p>
      <w:pPr>
        <w:keepNext w:val="0"/>
        <w:spacing w:before="0" w:after="80"/>
      </w:pPr>
      <w:r>
        <w:rPr>
          <w:rFonts w:ascii="Helvetica Neue" w:hAnsi="Helvetica Neue"/>
          <w:b w:val="0"/>
          <w:i w:val="0"/>
          <w:color w:val="1D2421"/>
        </w:rPr>
      </w:r>
    </w:p>
    <w:p>
      <w:pPr>
        <w:keepNext/>
        <w:spacing w:after="0"/>
        <w:jc w:val="center"/>
      </w:pPr>
      <w:r>
        <w:drawing>
          <wp:inline xmlns:a="http://schemas.openxmlformats.org/drawingml/2006/main" xmlns:pic="http://schemas.openxmlformats.org/drawingml/2006/picture">
            <wp:extent cx="6408000" cy="4806000"/>
            <wp:docPr id="2" name="Picture 2" descr="Geschützter, möblierter Balkon mit Lounge und sorgfältig arrangierter Bepflanzung." title="Geschützter, möblierter Balkon mit Lounge und sorgfältig arrangierter Bepflanzung."/>
            <wp:cNvGraphicFramePr>
              <a:graphicFrameLocks noChangeAspect="1"/>
            </wp:cNvGraphicFramePr>
            <a:graphic>
              <a:graphicData uri="http://schemas.openxmlformats.org/drawingml/2006/picture">
                <pic:pic>
                  <pic:nvPicPr>
                    <pic:cNvPr id="0" name="02_balkon_lounge.jpg"/>
                    <pic:cNvPicPr/>
                  </pic:nvPicPr>
                  <pic:blipFill>
                    <a:blip r:embed="rId13"/>
                    <a:stretch>
                      <a:fillRect/>
                    </a:stretch>
                  </pic:blipFill>
                  <pic:spPr>
                    <a:xfrm>
                      <a:off x="0" y="0"/>
                      <a:ext cx="6408000" cy="4806000"/>
                    </a:xfrm>
                    <a:prstGeom prst="rect"/>
                  </pic:spPr>
                </pic:pic>
              </a:graphicData>
            </a:graphic>
          </wp:inline>
        </w:drawing>
      </w:r>
    </w:p>
    <w:p>
      <w:pPr>
        <w:pStyle w:val="Caption"/>
        <w:jc w:val="left"/>
      </w:pPr>
      <w:r>
        <w:t>Ein geschützter Freiraum mit wohnlichem Charakter.</w:t>
      </w:r>
    </w:p>
    <w:p>
      <w:r>
        <w:br w:type="page"/>
      </w:r>
    </w:p>
    <w:p>
      <w:pPr>
        <w:keepNext/>
        <w:spacing w:before="0" w:after="100"/>
      </w:pPr>
      <w:r>
        <w:rPr>
          <w:rFonts w:ascii="Helvetica Neue" w:hAnsi="Helvetica Neue"/>
          <w:b/>
          <w:i w:val="0"/>
          <w:color w:val="9A7555"/>
          <w:sz w:val="15"/>
        </w:rPr>
        <w:t>WOHNEN &amp; EMPFANGEN</w:t>
      </w:r>
    </w:p>
    <w:p>
      <w:pPr>
        <w:pStyle w:val="Heading1"/>
        <w:spacing w:after="160"/>
      </w:pPr>
      <w:r>
        <w:rPr>
          <w:rFonts w:ascii="Baskerville" w:hAnsi="Baskerville"/>
          <w:b w:val="0"/>
          <w:color w:val="1D2421"/>
          <w:sz w:val="48"/>
        </w:rPr>
        <w:t>Der Mittelpunkt: offen, hell und selbstverständlich großzügig</w:t>
      </w:r>
    </w:p>
    <w:p>
      <w:pPr>
        <w:keepNext/>
        <w:spacing w:after="0"/>
        <w:jc w:val="center"/>
      </w:pPr>
      <w:r>
        <w:drawing>
          <wp:inline xmlns:a="http://schemas.openxmlformats.org/drawingml/2006/main" xmlns:pic="http://schemas.openxmlformats.org/drawingml/2006/picture">
            <wp:extent cx="6408000" cy="4806000"/>
            <wp:docPr id="3" name="Picture 3" descr="Großzügiger Wohn- und Essbereich mit klarer Raumaufteilung und breiter Fensterfront." title="Großzügiger Wohn- und Essbereich mit klarer Raumaufteilung und breiter Fensterfront."/>
            <wp:cNvGraphicFramePr>
              <a:graphicFrameLocks noChangeAspect="1"/>
            </wp:cNvGraphicFramePr>
            <a:graphic>
              <a:graphicData uri="http://schemas.openxmlformats.org/drawingml/2006/picture">
                <pic:pic>
                  <pic:nvPicPr>
                    <pic:cNvPr id="0" name="03_wohn_essbereich_weit.jpg"/>
                    <pic:cNvPicPr/>
                  </pic:nvPicPr>
                  <pic:blipFill>
                    <a:blip r:embed="rId14"/>
                    <a:stretch>
                      <a:fillRect/>
                    </a:stretch>
                  </pic:blipFill>
                  <pic:spPr>
                    <a:xfrm>
                      <a:off x="0" y="0"/>
                      <a:ext cx="6408000" cy="4806000"/>
                    </a:xfrm>
                    <a:prstGeom prst="rect"/>
                  </pic:spPr>
                </pic:pic>
              </a:graphicData>
            </a:graphic>
          </wp:inline>
        </w:drawing>
      </w:r>
    </w:p>
    <w:p>
      <w:pPr>
        <w:pStyle w:val="Caption"/>
        <w:jc w:val="left"/>
      </w:pPr>
      <w:r>
        <w:t>Wohn- und Essbereich mit direktem Übergang auf den Südwestbalkon.</w:t>
      </w:r>
    </w:p>
    <w:p>
      <w:pPr>
        <w:spacing w:after="140"/>
        <w:jc w:val="both"/>
      </w:pPr>
      <w:r>
        <w:t>Der Wohn- und Essbereich ist das räumliche Herzstück der Wohnung. Seine klare Zonierung lässt Wohnen, Essen und den Zugang zur Küche als zusammenhängende Folge erleben. Zugleich bleibt genügend Fläche für individuelle Möblierung – repräsentativ, ohne inszeniert zu wirken.</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3364"/>
        <w:gridCol w:w="3364"/>
        <w:gridCol w:w="3364"/>
      </w:tblGrid>
      <w:tr>
        <w:trPr>
          <w:tblHeader w:val="true"/>
        </w:trPr>
        <w:tc>
          <w:tcPr>
            <w:tcW w:type="dxa" w:w="3364"/>
            <w:tcMar>
              <w:top w:w="80" w:type="dxa"/>
              <w:start w:w="130" w:type="dxa"/>
              <w:bottom w:w="80" w:type="dxa"/>
              <w:end w:w="130" w:type="dxa"/>
            </w:tcMar>
          </w:tcPr>
          <w:p>
            <w:pPr>
              <w:spacing w:after="80"/>
            </w:pPr>
            <w:r>
              <w:rPr>
                <w:rFonts w:ascii="Baskerville" w:hAnsi="Baskerville"/>
                <w:color w:val="9A7555"/>
                <w:sz w:val="26"/>
              </w:rPr>
              <w:t>Raumwirkung</w:t>
            </w:r>
          </w:p>
          <w:p>
            <w:pPr>
              <w:spacing w:after="0" w:line="269" w:lineRule="auto"/>
            </w:pPr>
            <w:r>
              <w:t>Breite Sichtachsen und eine ruhige Materialbasis geben dem Raum seine Souveränität.</w:t>
            </w:r>
          </w:p>
        </w:tc>
        <w:tc>
          <w:tcPr>
            <w:tcW w:type="dxa" w:w="3364"/>
            <w:tcMar>
              <w:top w:w="80" w:type="dxa"/>
              <w:start w:w="130" w:type="dxa"/>
              <w:bottom w:w="80" w:type="dxa"/>
              <w:end w:w="130" w:type="dxa"/>
            </w:tcMar>
          </w:tcPr>
          <w:p>
            <w:pPr>
              <w:spacing w:after="80"/>
            </w:pPr>
            <w:r>
              <w:rPr>
                <w:rFonts w:ascii="Baskerville" w:hAnsi="Baskerville"/>
                <w:color w:val="9A7555"/>
                <w:sz w:val="26"/>
              </w:rPr>
              <w:t>Außenbezug</w:t>
            </w:r>
          </w:p>
          <w:p>
            <w:pPr>
              <w:spacing w:after="0" w:line="269" w:lineRule="auto"/>
            </w:pPr>
            <w:r>
              <w:t>Die Fensterfront bringt Tageslicht tief in den Raum und erweitert ihn optisch nach draußen.</w:t>
            </w:r>
          </w:p>
        </w:tc>
        <w:tc>
          <w:tcPr>
            <w:tcW w:type="dxa" w:w="3364"/>
            <w:tcMar>
              <w:top w:w="80" w:type="dxa"/>
              <w:start w:w="130" w:type="dxa"/>
              <w:bottom w:w="80" w:type="dxa"/>
              <w:end w:w="130" w:type="dxa"/>
            </w:tcMar>
          </w:tcPr>
          <w:p>
            <w:pPr>
              <w:spacing w:after="80"/>
            </w:pPr>
            <w:r>
              <w:rPr>
                <w:rFonts w:ascii="Baskerville" w:hAnsi="Baskerville"/>
                <w:color w:val="9A7555"/>
                <w:sz w:val="26"/>
              </w:rPr>
              <w:t>Alltagstauglich</w:t>
            </w:r>
          </w:p>
          <w:p>
            <w:pPr>
              <w:spacing w:after="0" w:line="269" w:lineRule="auto"/>
            </w:pPr>
            <w:r>
              <w:t>Die großzügige Grundfläche funktioniert gleichermaßen für entspannte Abende und Gäste.</w:t>
            </w:r>
          </w:p>
        </w:tc>
      </w:tr>
    </w:tbl>
    <w:p>
      <w:r>
        <w:br w:type="page"/>
      </w:r>
    </w:p>
    <w:p>
      <w:pPr>
        <w:keepNext/>
        <w:spacing w:before="0" w:after="100"/>
      </w:pPr>
      <w:r>
        <w:rPr>
          <w:rFonts w:ascii="Helvetica Neue" w:hAnsi="Helvetica Neue"/>
          <w:b/>
          <w:i w:val="0"/>
          <w:color w:val="9A7555"/>
          <w:sz w:val="15"/>
        </w:rPr>
        <w:t>ARCHITEKTUR AUF ZWEI EBENEN</w:t>
      </w:r>
    </w:p>
    <w:p>
      <w:pPr>
        <w:pStyle w:val="Heading1"/>
        <w:spacing w:after="160"/>
      </w:pPr>
      <w:r>
        <w:rPr>
          <w:rFonts w:ascii="Baskerville" w:hAnsi="Baskerville"/>
          <w:b w:val="0"/>
          <w:color w:val="1D2421"/>
          <w:sz w:val="48"/>
        </w:rPr>
        <w:t>Das Dachstudio: privater Rückzugsort mit eigenem Rhythmus</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5046"/>
        <w:gridCol w:w="5046"/>
      </w:tblGrid>
      <w:tr>
        <w:trPr>
          <w:tblHeader w:val="true"/>
        </w:trPr>
        <w:tc>
          <w:tcPr>
            <w:tcW w:type="dxa" w:w="5046"/>
            <w:tcMar>
              <w:top w:w="0" w:type="dxa"/>
              <w:start w:w="0" w:type="dxa"/>
              <w:bottom w:w="0" w:type="dxa"/>
              <w:end w:w="0" w:type="dxa"/>
            </w:tcMar>
          </w:tcPr>
          <w:p>
            <w:pPr>
              <w:spacing w:after="0"/>
            </w:pPr>
            <w:r>
              <w:drawing>
                <wp:inline xmlns:a="http://schemas.openxmlformats.org/drawingml/2006/main" xmlns:pic="http://schemas.openxmlformats.org/drawingml/2006/picture">
                  <wp:extent cx="3139200" cy="2354400"/>
                  <wp:docPr id="4" name="Picture 4" descr="Offenes Dachstudio mit maßgefertigter Schrankwand, Wendeltreppe und Rückzugsbereich." title="Offenes Dachstudio mit maßgefertigter Schrankwand, Wendeltreppe und Rückzugsbereich."/>
                  <wp:cNvGraphicFramePr>
                    <a:graphicFrameLocks noChangeAspect="1"/>
                  </wp:cNvGraphicFramePr>
                  <a:graphic>
                    <a:graphicData uri="http://schemas.openxmlformats.org/drawingml/2006/picture">
                      <pic:pic>
                        <pic:nvPicPr>
                          <pic:cNvPr id="0" name="06_dachstudio_gesamt.jpg"/>
                          <pic:cNvPicPr/>
                        </pic:nvPicPr>
                        <pic:blipFill>
                          <a:blip r:embed="rId15"/>
                          <a:stretch>
                            <a:fillRect/>
                          </a:stretch>
                        </pic:blipFill>
                        <pic:spPr>
                          <a:xfrm>
                            <a:off x="0" y="0"/>
                            <a:ext cx="3139200" cy="2354400"/>
                          </a:xfrm>
                          <a:prstGeom prst="rect"/>
                        </pic:spPr>
                      </pic:pic>
                    </a:graphicData>
                  </a:graphic>
                </wp:inline>
              </w:drawing>
            </w:r>
          </w:p>
        </w:tc>
        <w:tc>
          <w:tcPr>
            <w:tcW w:type="dxa" w:w="5046"/>
            <w:tcMar>
              <w:top w:w="0" w:type="dxa"/>
              <w:start w:w="0" w:type="dxa"/>
              <w:bottom w:w="0" w:type="dxa"/>
              <w:end w:w="0" w:type="dxa"/>
            </w:tcMar>
          </w:tcPr>
          <w:p>
            <w:pPr>
              <w:spacing w:after="0"/>
            </w:pPr>
            <w:r>
              <w:drawing>
                <wp:inline xmlns:a="http://schemas.openxmlformats.org/drawingml/2006/main" xmlns:pic="http://schemas.openxmlformats.org/drawingml/2006/picture">
                  <wp:extent cx="3139200" cy="2354400"/>
                  <wp:docPr id="5" name="Picture 5" descr="Ruhiger Schlafbereich im Dachstudio mit Doppelbett und zwei Fenstertüren." title="Ruhiger Schlafbereich im Dachstudio mit Doppelbett und zwei Fenstertüren."/>
                  <wp:cNvGraphicFramePr>
                    <a:graphicFrameLocks noChangeAspect="1"/>
                  </wp:cNvGraphicFramePr>
                  <a:graphic>
                    <a:graphicData uri="http://schemas.openxmlformats.org/drawingml/2006/picture">
                      <pic:pic>
                        <pic:nvPicPr>
                          <pic:cNvPr id="0" name="07_dachstudio_schlafbereich.jpg"/>
                          <pic:cNvPicPr/>
                        </pic:nvPicPr>
                        <pic:blipFill>
                          <a:blip r:embed="rId16"/>
                          <a:stretch>
                            <a:fillRect/>
                          </a:stretch>
                        </pic:blipFill>
                        <pic:spPr>
                          <a:xfrm>
                            <a:off x="0" y="0"/>
                            <a:ext cx="3139200" cy="2354400"/>
                          </a:xfrm>
                          <a:prstGeom prst="rect"/>
                        </pic:spPr>
                      </pic:pic>
                    </a:graphicData>
                  </a:graphic>
                </wp:inline>
              </w:drawing>
            </w:r>
          </w:p>
        </w:tc>
      </w:tr>
    </w:tbl>
    <w:p>
      <w:pPr>
        <w:pStyle w:val="Caption"/>
        <w:jc w:val="left"/>
      </w:pPr>
      <w:r>
        <w:t>Offenes Studio, maßgefertigter Stauraum und ein ruhiger Schlafbereich.</w:t>
      </w:r>
    </w:p>
    <w:p>
      <w:pPr>
        <w:spacing w:after="140"/>
        <w:jc w:val="both"/>
      </w:pPr>
      <w:r>
        <w:t>Über die Wendeltreppe erschließt sich die obere Ebene: ein offen gestaltetes Dachstudio mit rund 30 m², markanten Dachschrägen und einer passgenauen Schrankwand. Der Bereich eignet sich als großzügiges Schlafzimmer, Atelier, Homeoffice oder als Kombination daraus.</w:t>
      </w:r>
    </w:p>
    <w:tbl>
      <w:tblPr>
        <w:tblW w:type="auto" w:w="0"/>
        <w:tblLook w:firstColumn="1" w:firstRow="1" w:lastColumn="0" w:lastRow="0" w:noHBand="0" w:noVBand="1" w:val="04A0"/>
        <w:tblBorders>
          <w:top w:val="nil"/>
          <w:left w:val="nil"/>
          <w:bottom w:val="nil"/>
          <w:right w:val="nil"/>
          <w:insideH w:val="nil"/>
          <w:insideV w:val="nil"/>
        </w:tblBorders>
      </w:tblPr>
      <w:tblGrid>
        <w:gridCol w:w="10092"/>
      </w:tblGrid>
      <w:tr>
        <w:trPr>
          <w:tblHeader w:val="true"/>
        </w:trPr>
        <w:tc>
          <w:tcPr>
            <w:tcW w:type="dxa" w:w="10092"/>
            <w:shd w:fill="F5F1EA"/>
            <w:tcMar>
              <w:top w:w="190" w:type="dxa"/>
              <w:start w:w="230" w:type="dxa"/>
              <w:bottom w:w="180" w:type="dxa"/>
              <w:end w:w="230" w:type="dxa"/>
            </w:tcMar>
          </w:tcPr>
          <w:p>
            <w:pPr>
              <w:spacing w:after="80"/>
            </w:pPr>
            <w:r>
              <w:rPr>
                <w:rFonts w:ascii="Baskerville" w:hAnsi="Baskerville"/>
                <w:color w:val="9A7555"/>
                <w:sz w:val="28"/>
              </w:rPr>
              <w:t>Eine Ebene nur für sich</w:t>
            </w:r>
          </w:p>
          <w:p>
            <w:pPr>
              <w:spacing w:after="0" w:line="276" w:lineRule="auto"/>
            </w:pPr>
            <w:r>
              <w:t>Die räumliche Trennung schafft Privatsphäre, ohne den offenen Charakter der Maisonette aufzugeben. Dachflächenfenster und Fenstertüren sorgen für natürliche Belichtung; die Einbauten nutzen die Schrägen effizient.</w:t>
            </w:r>
          </w:p>
        </w:tc>
      </w:tr>
    </w:tbl>
    <w:p>
      <w:pPr>
        <w:keepNext w:val="0"/>
        <w:spacing w:before="200" w:after="80"/>
      </w:pPr>
      <w:r>
        <w:rPr>
          <w:rFonts w:ascii="Helvetica Neue" w:hAnsi="Helvetica Neue"/>
          <w:b/>
          <w:i w:val="0"/>
          <w:color w:val="68746C"/>
          <w:sz w:val="14"/>
        </w:rPr>
        <w:t>RAUMFOLGE</w:t>
      </w:r>
    </w:p>
    <w:p>
      <w:pPr>
        <w:keepNext w:val="0"/>
        <w:spacing w:before="0" w:after="60"/>
      </w:pPr>
      <w:r>
        <w:rPr>
          <w:rFonts w:ascii="Helvetica Neue" w:hAnsi="Helvetica Neue"/>
          <w:b w:val="0"/>
          <w:i w:val="0"/>
          <w:color w:val="1D2421"/>
          <w:sz w:val="18"/>
        </w:rPr>
        <w:t>Hauptebene  ·  Wohnen / Essen  ·  Küche  ·  Bad  ·  weitere Zimmer  ·  Balkon</w:t>
      </w:r>
    </w:p>
    <w:p>
      <w:pPr>
        <w:keepNext w:val="0"/>
        <w:spacing w:before="0" w:after="0"/>
      </w:pPr>
      <w:r>
        <w:rPr>
          <w:rFonts w:ascii="Helvetica Neue" w:hAnsi="Helvetica Neue"/>
          <w:b w:val="0"/>
          <w:i w:val="0"/>
          <w:color w:val="1D2421"/>
          <w:sz w:val="18"/>
        </w:rPr>
        <w:t>Obere Ebene  ·  offenes Dachstudio  ·  Schlafen / Arbeiten  ·  maßgefertigter Stauraum</w:t>
      </w:r>
    </w:p>
    <w:p>
      <w:r>
        <w:br w:type="page"/>
      </w:r>
    </w:p>
    <w:p>
      <w:pPr>
        <w:keepNext/>
        <w:spacing w:before="0" w:after="100"/>
      </w:pPr>
      <w:r>
        <w:rPr>
          <w:rFonts w:ascii="Helvetica Neue" w:hAnsi="Helvetica Neue"/>
          <w:b/>
          <w:i w:val="0"/>
          <w:color w:val="9A7555"/>
          <w:sz w:val="15"/>
        </w:rPr>
        <w:t>KÜCHE</w:t>
      </w:r>
    </w:p>
    <w:p>
      <w:pPr>
        <w:pStyle w:val="Heading1"/>
        <w:spacing w:after="160"/>
      </w:pPr>
      <w:r>
        <w:rPr>
          <w:rFonts w:ascii="Baskerville" w:hAnsi="Baskerville"/>
          <w:b w:val="0"/>
          <w:color w:val="1D2421"/>
          <w:sz w:val="48"/>
        </w:rPr>
        <w:t>Klar geplant. Ruhig gestaltet. Im Alltag überzeugend.</w:t>
      </w:r>
    </w:p>
    <w:p>
      <w:pPr>
        <w:keepNext/>
        <w:spacing w:after="0"/>
        <w:jc w:val="center"/>
      </w:pPr>
      <w:r>
        <w:drawing>
          <wp:inline xmlns:a="http://schemas.openxmlformats.org/drawingml/2006/main" xmlns:pic="http://schemas.openxmlformats.org/drawingml/2006/picture">
            <wp:extent cx="6408000" cy="4806000"/>
            <wp:docPr id="6" name="Picture 6" descr="Helle U-förmige Einbauküche mit Einbaugeräten und Arbeitsflächen unter der Dachschräge." title="Helle U-förmige Einbauküche mit Einbaugeräten und Arbeitsflächen unter der Dachschräge."/>
            <wp:cNvGraphicFramePr>
              <a:graphicFrameLocks noChangeAspect="1"/>
            </wp:cNvGraphicFramePr>
            <a:graphic>
              <a:graphicData uri="http://schemas.openxmlformats.org/drawingml/2006/picture">
                <pic:pic>
                  <pic:nvPicPr>
                    <pic:cNvPr id="0" name="05_kueche.jpg"/>
                    <pic:cNvPicPr/>
                  </pic:nvPicPr>
                  <pic:blipFill>
                    <a:blip r:embed="rId17"/>
                    <a:stretch>
                      <a:fillRect/>
                    </a:stretch>
                  </pic:blipFill>
                  <pic:spPr>
                    <a:xfrm>
                      <a:off x="0" y="0"/>
                      <a:ext cx="6408000" cy="4806000"/>
                    </a:xfrm>
                    <a:prstGeom prst="rect"/>
                  </pic:spPr>
                </pic:pic>
              </a:graphicData>
            </a:graphic>
          </wp:inline>
        </w:drawing>
      </w:r>
    </w:p>
    <w:p>
      <w:pPr>
        <w:pStyle w:val="Caption"/>
        <w:jc w:val="left"/>
      </w:pPr>
      <w:r>
        <w:t>U-förmige Einbauküche mit hellen Fronten und warmen Holzdetails.</w:t>
      </w:r>
    </w:p>
    <w:p>
      <w:pPr>
        <w:spacing w:after="140"/>
        <w:jc w:val="both"/>
      </w:pPr>
      <w:r>
        <w:t>Die Küche nutzt ihre U-Form effizient: kurze Wege, zusammenhängende Arbeitsflächen und ein aufgeräumtes Erscheinungsbild. Helle Fronten und die warmen Holzdetails fügen sich selbstverständlich in die Wohnästhetik ein. Dachschrägen und Einbauten sind präzise aufeinander abgestimmt.</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3364"/>
        <w:gridCol w:w="3364"/>
        <w:gridCol w:w="3364"/>
      </w:tblGrid>
      <w:tr>
        <w:trPr>
          <w:tblHeader w:val="true"/>
        </w:trPr>
        <w:tc>
          <w:tcPr>
            <w:tcW w:type="dxa" w:w="3364"/>
            <w:tcMar>
              <w:top w:w="80" w:type="dxa"/>
              <w:start w:w="130" w:type="dxa"/>
              <w:bottom w:w="80" w:type="dxa"/>
              <w:end w:w="130" w:type="dxa"/>
            </w:tcMar>
          </w:tcPr>
          <w:p>
            <w:pPr>
              <w:spacing w:after="80"/>
            </w:pPr>
            <w:r>
              <w:rPr>
                <w:rFonts w:ascii="Baskerville" w:hAnsi="Baskerville"/>
                <w:color w:val="9A7555"/>
                <w:sz w:val="26"/>
              </w:rPr>
              <w:t>Arbeitsablauf</w:t>
            </w:r>
          </w:p>
          <w:p>
            <w:pPr>
              <w:spacing w:after="0" w:line="269" w:lineRule="auto"/>
            </w:pPr>
            <w:r>
              <w:t>Kochen, Vorbereiten und Spülen sind kompakt und logisch angeordnet.</w:t>
            </w:r>
          </w:p>
        </w:tc>
        <w:tc>
          <w:tcPr>
            <w:tcW w:type="dxa" w:w="3364"/>
            <w:tcMar>
              <w:top w:w="80" w:type="dxa"/>
              <w:start w:w="130" w:type="dxa"/>
              <w:bottom w:w="80" w:type="dxa"/>
              <w:end w:w="130" w:type="dxa"/>
            </w:tcMar>
          </w:tcPr>
          <w:p>
            <w:pPr>
              <w:spacing w:after="80"/>
            </w:pPr>
            <w:r>
              <w:rPr>
                <w:rFonts w:ascii="Baskerville" w:hAnsi="Baskerville"/>
                <w:color w:val="9A7555"/>
                <w:sz w:val="26"/>
              </w:rPr>
              <w:t>Ausstattung</w:t>
            </w:r>
          </w:p>
          <w:p>
            <w:pPr>
              <w:spacing w:after="0" w:line="269" w:lineRule="auto"/>
            </w:pPr>
            <w:r>
              <w:t>Einbaugeräte, großzügige Schubladen und offene Ablagen schaffen Komfort.</w:t>
            </w:r>
          </w:p>
        </w:tc>
        <w:tc>
          <w:tcPr>
            <w:tcW w:type="dxa" w:w="3364"/>
            <w:tcMar>
              <w:top w:w="80" w:type="dxa"/>
              <w:start w:w="130" w:type="dxa"/>
              <w:bottom w:w="80" w:type="dxa"/>
              <w:end w:w="130" w:type="dxa"/>
            </w:tcMar>
          </w:tcPr>
          <w:p>
            <w:pPr>
              <w:spacing w:after="80"/>
            </w:pPr>
            <w:r>
              <w:rPr>
                <w:rFonts w:ascii="Baskerville" w:hAnsi="Baskerville"/>
                <w:color w:val="9A7555"/>
                <w:sz w:val="26"/>
              </w:rPr>
              <w:t>Hinweis</w:t>
            </w:r>
          </w:p>
          <w:p>
            <w:pPr>
              <w:spacing w:after="0" w:line="269" w:lineRule="auto"/>
            </w:pPr>
            <w:r>
              <w:t>Übernahme und Umfang der Küchenausstattung werden im Kaufprozess abgestimmt.</w:t>
            </w:r>
          </w:p>
        </w:tc>
      </w:tr>
    </w:tbl>
    <w:p>
      <w:r>
        <w:br w:type="page"/>
      </w:r>
    </w:p>
    <w:p>
      <w:pPr>
        <w:keepNext/>
        <w:spacing w:before="0" w:after="100"/>
      </w:pPr>
      <w:r>
        <w:rPr>
          <w:rFonts w:ascii="Helvetica Neue" w:hAnsi="Helvetica Neue"/>
          <w:b/>
          <w:i w:val="0"/>
          <w:color w:val="9A7555"/>
          <w:sz w:val="15"/>
        </w:rPr>
        <w:t>BAD</w:t>
      </w:r>
    </w:p>
    <w:p>
      <w:pPr>
        <w:pStyle w:val="Heading1"/>
        <w:spacing w:after="160"/>
      </w:pPr>
      <w:r>
        <w:rPr>
          <w:rFonts w:ascii="Baskerville" w:hAnsi="Baskerville"/>
          <w:b w:val="0"/>
          <w:color w:val="1D2421"/>
          <w:sz w:val="48"/>
        </w:rPr>
        <w:t>Tageslicht, klare Geometrien und ein Hauch Boutique-Hotel</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5046"/>
        <w:gridCol w:w="5046"/>
      </w:tblGrid>
      <w:tr>
        <w:trPr>
          <w:tblHeader w:val="true"/>
        </w:trPr>
        <w:tc>
          <w:tcPr>
            <w:tcW w:type="dxa" w:w="5046"/>
            <w:tcMar>
              <w:top w:w="0" w:type="dxa"/>
              <w:start w:w="0" w:type="dxa"/>
              <w:bottom w:w="0" w:type="dxa"/>
              <w:end w:w="0" w:type="dxa"/>
            </w:tcMar>
          </w:tcPr>
          <w:p>
            <w:pPr>
              <w:spacing w:after="0"/>
            </w:pPr>
            <w:r>
              <w:drawing>
                <wp:inline xmlns:a="http://schemas.openxmlformats.org/drawingml/2006/main" xmlns:pic="http://schemas.openxmlformats.org/drawingml/2006/picture">
                  <wp:extent cx="3139200" cy="4185600"/>
                  <wp:docPr id="7" name="Picture 7" descr="Renoviertes Tageslichtbad mit Doppelwaschtisch auf warmer Holzkonsole." title="Renoviertes Tageslichtbad mit Doppelwaschtisch auf warmer Holzkonsole."/>
                  <wp:cNvGraphicFramePr>
                    <a:graphicFrameLocks noChangeAspect="1"/>
                  </wp:cNvGraphicFramePr>
                  <a:graphic>
                    <a:graphicData uri="http://schemas.openxmlformats.org/drawingml/2006/picture">
                      <pic:pic>
                        <pic:nvPicPr>
                          <pic:cNvPr id="0" name="08_bad_doppelwaschtisch.jpg"/>
                          <pic:cNvPicPr/>
                        </pic:nvPicPr>
                        <pic:blipFill>
                          <a:blip r:embed="rId18"/>
                          <a:stretch>
                            <a:fillRect/>
                          </a:stretch>
                        </pic:blipFill>
                        <pic:spPr>
                          <a:xfrm>
                            <a:off x="0" y="0"/>
                            <a:ext cx="3139200" cy="4185600"/>
                          </a:xfrm>
                          <a:prstGeom prst="rect"/>
                        </pic:spPr>
                      </pic:pic>
                    </a:graphicData>
                  </a:graphic>
                </wp:inline>
              </w:drawing>
            </w:r>
          </w:p>
        </w:tc>
        <w:tc>
          <w:tcPr>
            <w:tcW w:type="dxa" w:w="5046"/>
            <w:tcMar>
              <w:top w:w="0" w:type="dxa"/>
              <w:start w:w="0" w:type="dxa"/>
              <w:bottom w:w="0" w:type="dxa"/>
              <w:end w:w="0" w:type="dxa"/>
            </w:tcMar>
          </w:tcPr>
          <w:p>
            <w:pPr>
              <w:spacing w:after="0"/>
            </w:pPr>
            <w:r>
              <w:drawing>
                <wp:inline xmlns:a="http://schemas.openxmlformats.org/drawingml/2006/main" xmlns:pic="http://schemas.openxmlformats.org/drawingml/2006/picture">
                  <wp:extent cx="3139200" cy="4185600"/>
                  <wp:docPr id="8" name="Picture 8" descr="Großzügige bodennahe Walk-in-Dusche mit Glasabtrennung und Regenduschkopf." title="Großzügige bodennahe Walk-in-Dusche mit Glasabtrennung und Regenduschkopf."/>
                  <wp:cNvGraphicFramePr>
                    <a:graphicFrameLocks noChangeAspect="1"/>
                  </wp:cNvGraphicFramePr>
                  <a:graphic>
                    <a:graphicData uri="http://schemas.openxmlformats.org/drawingml/2006/picture">
                      <pic:pic>
                        <pic:nvPicPr>
                          <pic:cNvPr id="0" name="09_bad_walk_in_dusche.jpg"/>
                          <pic:cNvPicPr/>
                        </pic:nvPicPr>
                        <pic:blipFill>
                          <a:blip r:embed="rId19"/>
                          <a:stretch>
                            <a:fillRect/>
                          </a:stretch>
                        </pic:blipFill>
                        <pic:spPr>
                          <a:xfrm>
                            <a:off x="0" y="0"/>
                            <a:ext cx="3139200" cy="4185600"/>
                          </a:xfrm>
                          <a:prstGeom prst="rect"/>
                        </pic:spPr>
                      </pic:pic>
                    </a:graphicData>
                  </a:graphic>
                </wp:inline>
              </w:drawing>
            </w:r>
          </w:p>
        </w:tc>
      </w:tr>
    </w:tbl>
    <w:p>
      <w:pPr>
        <w:pStyle w:val="Caption"/>
        <w:jc w:val="left"/>
      </w:pPr>
      <w:r>
        <w:t>Doppelwaschtisch und großzügige Walk-in-Dusche im renovierten Tageslichtbad.</w:t>
      </w:r>
    </w:p>
    <w:p>
      <w:pPr>
        <w:spacing w:after="140"/>
        <w:jc w:val="both"/>
      </w:pPr>
      <w:r>
        <w:t>Dunkle Fliesen, weiße Keramik und eine warme Holzkonsole geben dem renovierten Bad seine grafische Ruhe. Zwei Aufsatzwaschbecken unterstützen den Alltag zu zweit; die verglaste Walk-in-Dusche mit Regenduschkopf setzt einen hochwertigen Akzent.</w:t>
      </w:r>
    </w:p>
    <w:tbl>
      <w:tblPr>
        <w:tblW w:type="auto" w:w="0"/>
        <w:tblLook w:firstColumn="1" w:firstRow="1" w:lastColumn="0" w:lastRow="0" w:noHBand="0" w:noVBand="1" w:val="04A0"/>
        <w:tblBorders>
          <w:top w:val="nil"/>
          <w:left w:val="nil"/>
          <w:bottom w:val="nil"/>
          <w:right w:val="nil"/>
          <w:insideH w:val="nil"/>
          <w:insideV w:val="nil"/>
        </w:tblBorders>
      </w:tblPr>
      <w:tblGrid>
        <w:gridCol w:w="5046"/>
        <w:gridCol w:w="5046"/>
      </w:tblGrid>
      <w:tr>
        <w:trPr>
          <w:tblHeader w:val="true"/>
        </w:trPr>
        <w:tc>
          <w:tcPr>
            <w:tcW w:type="dxa" w:w="5046"/>
            <w:tcMar>
              <w:top w:w="0" w:type="dxa"/>
              <w:start w:w="0" w:type="dxa"/>
              <w:bottom w:w="0" w:type="dxa"/>
              <w:end w:w="160" w:type="dxa"/>
            </w:tcMar>
          </w:tcPr>
          <w:p>
            <w:r>
              <w:drawing>
                <wp:inline xmlns:a="http://schemas.openxmlformats.org/drawingml/2006/main" xmlns:pic="http://schemas.openxmlformats.org/drawingml/2006/picture">
                  <wp:extent cx="2160000" cy="2880000"/>
                  <wp:docPr id="9" name="Picture 9" descr="Separierter WC-Bereich im Tageslichtbad mit diskreter Hotelinszenierung." title="Separierter WC-Bereich im Tageslichtbad mit diskreter Hotelinszenierung."/>
                  <wp:cNvGraphicFramePr>
                    <a:graphicFrameLocks noChangeAspect="1"/>
                  </wp:cNvGraphicFramePr>
                  <a:graphic>
                    <a:graphicData uri="http://schemas.openxmlformats.org/drawingml/2006/picture">
                      <pic:pic>
                        <pic:nvPicPr>
                          <pic:cNvPr id="0" name="10_bad_wc_hotel_faltung.jpg"/>
                          <pic:cNvPicPr/>
                        </pic:nvPicPr>
                        <pic:blipFill>
                          <a:blip r:embed="rId20"/>
                          <a:stretch>
                            <a:fillRect/>
                          </a:stretch>
                        </pic:blipFill>
                        <pic:spPr>
                          <a:xfrm>
                            <a:off x="0" y="0"/>
                            <a:ext cx="2160000" cy="2880000"/>
                          </a:xfrm>
                          <a:prstGeom prst="rect"/>
                        </pic:spPr>
                      </pic:pic>
                    </a:graphicData>
                  </a:graphic>
                </wp:inline>
              </w:drawing>
            </w:r>
          </w:p>
        </w:tc>
        <w:tc>
          <w:tcPr>
            <w:tcW w:type="dxa" w:w="5046"/>
            <w:tcMar>
              <w:top w:w="40" w:type="dxa"/>
              <w:start w:w="120" w:type="dxa"/>
              <w:bottom w:w="0" w:type="dxa"/>
              <w:end w:w="0" w:type="dxa"/>
            </w:tcMar>
          </w:tcPr>
          <w:p>
            <w:r>
              <w:rPr>
                <w:rFonts w:ascii="Baskerville" w:hAnsi="Baskerville"/>
                <w:color w:val="9A7555"/>
                <w:sz w:val="28"/>
              </w:rPr>
              <w:t>Diskrete Details</w:t>
            </w:r>
          </w:p>
          <w:p>
            <w:r>
              <w:t>Der separierte WC-Bereich und die bewusst reduzierte Hotelinszenierung unterstreichen den gepflegten Gesamteindruck – zurückhaltend statt dekorativ überladen.</w:t>
            </w:r>
          </w:p>
        </w:tc>
      </w:tr>
    </w:tbl>
    <w:p>
      <w:r>
        <w:br w:type="page"/>
      </w:r>
    </w:p>
    <w:p>
      <w:pPr>
        <w:keepNext/>
        <w:spacing w:before="0" w:after="100"/>
      </w:pPr>
      <w:r>
        <w:rPr>
          <w:rFonts w:ascii="Helvetica Neue" w:hAnsi="Helvetica Neue"/>
          <w:b/>
          <w:i w:val="0"/>
          <w:color w:val="9A7555"/>
          <w:sz w:val="15"/>
        </w:rPr>
        <w:t>SÜDWESTBALKON</w:t>
      </w:r>
    </w:p>
    <w:p>
      <w:pPr>
        <w:pStyle w:val="Heading1"/>
        <w:spacing w:after="160"/>
      </w:pPr>
      <w:r>
        <w:rPr>
          <w:rFonts w:ascii="Baskerville" w:hAnsi="Baskerville"/>
          <w:b w:val="0"/>
          <w:color w:val="1D2421"/>
          <w:sz w:val="48"/>
        </w:rPr>
        <w:t>Ein grünes Zimmer unter freiem Himmel</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5046"/>
        <w:gridCol w:w="5046"/>
      </w:tblGrid>
      <w:tr>
        <w:trPr>
          <w:tblHeader w:val="true"/>
        </w:trPr>
        <w:tc>
          <w:tcPr>
            <w:tcW w:type="dxa" w:w="5046"/>
            <w:tcMar>
              <w:top w:w="0" w:type="dxa"/>
              <w:start w:w="0" w:type="dxa"/>
              <w:bottom w:w="0" w:type="dxa"/>
              <w:end w:w="0" w:type="dxa"/>
            </w:tcMar>
          </w:tcPr>
          <w:p>
            <w:pPr>
              <w:spacing w:after="0"/>
            </w:pPr>
            <w:r>
              <w:drawing>
                <wp:inline xmlns:a="http://schemas.openxmlformats.org/drawingml/2006/main" xmlns:pic="http://schemas.openxmlformats.org/drawingml/2006/picture">
                  <wp:extent cx="3139200" cy="2354400"/>
                  <wp:docPr id="10" name="Picture 10" descr="Geschützter, möblierter Balkon mit Lounge und sorgfältig arrangierter Bepflanzung." title="Geschützter, möblierter Balkon mit Lounge und sorgfältig arrangierter Bepflanzung."/>
                  <wp:cNvGraphicFramePr>
                    <a:graphicFrameLocks noChangeAspect="1"/>
                  </wp:cNvGraphicFramePr>
                  <a:graphic>
                    <a:graphicData uri="http://schemas.openxmlformats.org/drawingml/2006/picture">
                      <pic:pic>
                        <pic:nvPicPr>
                          <pic:cNvPr id="0" name="02_balkon_lounge.jpg"/>
                          <pic:cNvPicPr/>
                        </pic:nvPicPr>
                        <pic:blipFill>
                          <a:blip r:embed="rId13"/>
                          <a:stretch>
                            <a:fillRect/>
                          </a:stretch>
                        </pic:blipFill>
                        <pic:spPr>
                          <a:xfrm>
                            <a:off x="0" y="0"/>
                            <a:ext cx="3139200" cy="2354400"/>
                          </a:xfrm>
                          <a:prstGeom prst="rect"/>
                        </pic:spPr>
                      </pic:pic>
                    </a:graphicData>
                  </a:graphic>
                </wp:inline>
              </w:drawing>
            </w:r>
          </w:p>
        </w:tc>
        <w:tc>
          <w:tcPr>
            <w:tcW w:type="dxa" w:w="5046"/>
            <w:tcMar>
              <w:top w:w="0" w:type="dxa"/>
              <w:start w:w="0" w:type="dxa"/>
              <w:bottom w:w="0" w:type="dxa"/>
              <w:end w:w="0" w:type="dxa"/>
            </w:tcMar>
          </w:tcPr>
          <w:p>
            <w:pPr>
              <w:spacing w:after="0"/>
            </w:pPr>
            <w:r>
              <w:drawing>
                <wp:inline xmlns:a="http://schemas.openxmlformats.org/drawingml/2006/main" xmlns:pic="http://schemas.openxmlformats.org/drawingml/2006/picture">
                  <wp:extent cx="3139200" cy="2354400"/>
                  <wp:docPr id="11" name="Picture 11" descr="Begrünter Balkon mit Markise und Blick über Gärten, Dächer und den Kirchturm von Kornelimünster." title="Begrünter Balkon mit Markise und Blick über Gärten, Dächer und den Kirchturm von Kornelimünster."/>
                  <wp:cNvGraphicFramePr>
                    <a:graphicFrameLocks noChangeAspect="1"/>
                  </wp:cNvGraphicFramePr>
                  <a:graphic>
                    <a:graphicData uri="http://schemas.openxmlformats.org/drawingml/2006/picture">
                      <pic:pic>
                        <pic:nvPicPr>
                          <pic:cNvPr id="0" name="04_balkon_ausblick.jpg"/>
                          <pic:cNvPicPr/>
                        </pic:nvPicPr>
                        <pic:blipFill>
                          <a:blip r:embed="rId21"/>
                          <a:stretch>
                            <a:fillRect/>
                          </a:stretch>
                        </pic:blipFill>
                        <pic:spPr>
                          <a:xfrm>
                            <a:off x="0" y="0"/>
                            <a:ext cx="3139200" cy="2354400"/>
                          </a:xfrm>
                          <a:prstGeom prst="rect"/>
                        </pic:spPr>
                      </pic:pic>
                    </a:graphicData>
                  </a:graphic>
                </wp:inline>
              </w:drawing>
            </w:r>
          </w:p>
        </w:tc>
      </w:tr>
    </w:tbl>
    <w:p>
      <w:pPr>
        <w:pStyle w:val="Caption"/>
        <w:jc w:val="left"/>
      </w:pPr>
      <w:r>
        <w:t>Loungeatmosphäre, Markise und Blick über Gärten, Dächer und den historischen Ort.</w:t>
      </w:r>
    </w:p>
    <w:p>
      <w:pPr>
        <w:spacing w:after="140"/>
        <w:jc w:val="both"/>
      </w:pPr>
      <w:r>
        <w:t>Der geschützte Balkon ist mehr als eine Ergänzung zur Wohnfläche: Seine Tiefe erlaubt eine vollwertige Lounge, die Markise spendet Schatten und die üppige Bepflanzung schafft eine angenehm private Atmosphäre. Die Südwestorientierung begleitet den Tagesausklang mit warmem Licht.</w:t>
      </w:r>
    </w:p>
    <w:tbl>
      <w:tblPr>
        <w:tblW w:type="auto" w:w="0"/>
        <w:tblLook w:firstColumn="1" w:firstRow="1" w:lastColumn="0" w:lastRow="0" w:noHBand="0" w:noVBand="1" w:val="04A0"/>
        <w:tblBorders>
          <w:top w:val="nil"/>
          <w:left w:val="nil"/>
          <w:bottom w:val="nil"/>
          <w:right w:val="nil"/>
          <w:insideH w:val="nil"/>
          <w:insideV w:val="nil"/>
        </w:tblBorders>
      </w:tblPr>
      <w:tblGrid>
        <w:gridCol w:w="10092"/>
      </w:tblGrid>
      <w:tr>
        <w:trPr>
          <w:tblHeader w:val="true"/>
        </w:trPr>
        <w:tc>
          <w:tcPr>
            <w:tcW w:type="dxa" w:w="10092"/>
            <w:shd w:fill="F5F1EA"/>
            <w:tcMar>
              <w:top w:w="190" w:type="dxa"/>
              <w:start w:w="230" w:type="dxa"/>
              <w:bottom w:w="180" w:type="dxa"/>
              <w:end w:w="230" w:type="dxa"/>
            </w:tcMar>
          </w:tcPr>
          <w:p>
            <w:pPr>
              <w:spacing w:after="80"/>
            </w:pPr>
            <w:r>
              <w:rPr>
                <w:rFonts w:ascii="Baskerville" w:hAnsi="Baskerville"/>
                <w:color w:val="9A7555"/>
                <w:sz w:val="28"/>
              </w:rPr>
              <w:t>Kornelimünster im Blick</w:t>
            </w:r>
          </w:p>
          <w:p>
            <w:pPr>
              <w:spacing w:after="0" w:line="276" w:lineRule="auto"/>
            </w:pPr>
            <w:r>
              <w:t>Zwischen Grün, gewachsenen Dächern und dem Kirchturm entsteht ein unverwechselbarer Ortsbezug – urban angebunden und zugleich angenehm entschleunigt.</w:t>
            </w:r>
          </w:p>
        </w:tc>
      </w:tr>
    </w:tbl>
    <w:p>
      <w:r>
        <w:br w:type="page"/>
      </w:r>
    </w:p>
    <w:p>
      <w:pPr>
        <w:keepNext/>
        <w:spacing w:before="0" w:after="100"/>
      </w:pPr>
      <w:r>
        <w:rPr>
          <w:rFonts w:ascii="Helvetica Neue" w:hAnsi="Helvetica Neue"/>
          <w:b/>
          <w:i w:val="0"/>
          <w:color w:val="9A7555"/>
          <w:sz w:val="15"/>
        </w:rPr>
        <w:t>OBJEKTDATEN</w:t>
      </w:r>
    </w:p>
    <w:p>
      <w:pPr>
        <w:pStyle w:val="Heading1"/>
        <w:spacing w:after="160"/>
      </w:pPr>
      <w:r>
        <w:rPr>
          <w:rFonts w:ascii="Baskerville" w:hAnsi="Baskerville"/>
          <w:b w:val="0"/>
          <w:color w:val="1D2421"/>
          <w:sz w:val="48"/>
        </w:rPr>
        <w:t>Die Fakten – präzise und auf einen Blick</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2523"/>
        <w:gridCol w:w="2523"/>
        <w:gridCol w:w="2523"/>
        <w:gridCol w:w="2523"/>
      </w:tblGrid>
      <w:tr>
        <w:trPr>
          <w:tblHeader w:val="true"/>
        </w:trPr>
        <w:tc>
          <w:tcPr>
            <w:tcW w:type="dxa" w:w="2523"/>
            <w:shd w:fill="F5F1EA"/>
            <w:tcMar>
              <w:top w:w="160" w:type="dxa"/>
              <w:start w:w="150" w:type="dxa"/>
              <w:bottom w:w="140" w:type="dxa"/>
              <w:end w:w="150" w:type="dxa"/>
            </w:tcMar>
            <w:vAlign w:val="center"/>
          </w:tcPr>
          <w:p>
            <w:pPr>
              <w:spacing w:after="40"/>
              <w:jc w:val="center"/>
            </w:pPr>
            <w:r>
              <w:rPr>
                <w:rFonts w:ascii="Baskerville" w:hAnsi="Baskerville"/>
                <w:color w:val="1D2421"/>
                <w:sz w:val="34"/>
              </w:rPr>
              <w:t>1998</w:t>
            </w:r>
          </w:p>
          <w:p>
            <w:pPr>
              <w:spacing w:after="0"/>
              <w:jc w:val="center"/>
            </w:pPr>
            <w:r>
              <w:rPr>
                <w:rFonts w:ascii="Helvetica Neue" w:hAnsi="Helvetica Neue"/>
                <w:b/>
                <w:color w:val="68746C"/>
                <w:sz w:val="13"/>
              </w:rPr>
              <w:t>BAUJAHR</w:t>
            </w:r>
          </w:p>
        </w:tc>
        <w:tc>
          <w:tcPr>
            <w:tcW w:type="dxa" w:w="2523"/>
            <w:shd w:fill="F5F1EA"/>
            <w:tcMar>
              <w:top w:w="160" w:type="dxa"/>
              <w:start w:w="150" w:type="dxa"/>
              <w:bottom w:w="140" w:type="dxa"/>
              <w:end w:w="150" w:type="dxa"/>
            </w:tcMar>
            <w:vAlign w:val="center"/>
          </w:tcPr>
          <w:p>
            <w:pPr>
              <w:spacing w:after="40"/>
              <w:jc w:val="center"/>
            </w:pPr>
            <w:r>
              <w:rPr>
                <w:rFonts w:ascii="Baskerville" w:hAnsi="Baskerville"/>
                <w:color w:val="1D2421"/>
                <w:sz w:val="34"/>
              </w:rPr>
              <w:t>6</w:t>
            </w:r>
          </w:p>
          <w:p>
            <w:pPr>
              <w:spacing w:after="0"/>
              <w:jc w:val="center"/>
            </w:pPr>
            <w:r>
              <w:rPr>
                <w:rFonts w:ascii="Helvetica Neue" w:hAnsi="Helvetica Neue"/>
                <w:b/>
                <w:color w:val="68746C"/>
                <w:sz w:val="13"/>
              </w:rPr>
              <w:t>PARTEIEN IM HAUS</w:t>
            </w:r>
          </w:p>
        </w:tc>
        <w:tc>
          <w:tcPr>
            <w:tcW w:type="dxa" w:w="2523"/>
            <w:shd w:fill="F5F1EA"/>
            <w:tcMar>
              <w:top w:w="160" w:type="dxa"/>
              <w:start w:w="150" w:type="dxa"/>
              <w:bottom w:w="140" w:type="dxa"/>
              <w:end w:w="150" w:type="dxa"/>
            </w:tcMar>
            <w:vAlign w:val="center"/>
          </w:tcPr>
          <w:p>
            <w:pPr>
              <w:spacing w:after="40"/>
              <w:jc w:val="center"/>
            </w:pPr>
            <w:r>
              <w:rPr>
                <w:rFonts w:ascii="Baskerville" w:hAnsi="Baskerville"/>
                <w:color w:val="1D2421"/>
                <w:sz w:val="34"/>
              </w:rPr>
              <w:t>340 €</w:t>
            </w:r>
          </w:p>
          <w:p>
            <w:pPr>
              <w:spacing w:after="0"/>
              <w:jc w:val="center"/>
            </w:pPr>
            <w:r>
              <w:rPr>
                <w:rFonts w:ascii="Helvetica Neue" w:hAnsi="Helvetica Neue"/>
                <w:b/>
                <w:color w:val="68746C"/>
                <w:sz w:val="13"/>
              </w:rPr>
              <w:t>HAUSGELD MONATLICH</w:t>
            </w:r>
          </w:p>
        </w:tc>
        <w:tc>
          <w:tcPr>
            <w:tcW w:type="dxa" w:w="2523"/>
            <w:shd w:fill="F5F1EA"/>
            <w:tcMar>
              <w:top w:w="160" w:type="dxa"/>
              <w:start w:w="150" w:type="dxa"/>
              <w:bottom w:w="140" w:type="dxa"/>
              <w:end w:w="150" w:type="dxa"/>
            </w:tcMar>
            <w:vAlign w:val="center"/>
          </w:tcPr>
          <w:p>
            <w:pPr>
              <w:spacing w:after="40"/>
              <w:jc w:val="center"/>
            </w:pPr>
            <w:r>
              <w:rPr>
                <w:rFonts w:ascii="Baskerville" w:hAnsi="Baskerville"/>
                <w:color w:val="1D2421"/>
                <w:sz w:val="34"/>
              </w:rPr>
              <w:t>98,5</w:t>
            </w:r>
          </w:p>
          <w:p>
            <w:pPr>
              <w:spacing w:after="0"/>
              <w:jc w:val="center"/>
            </w:pPr>
            <w:r>
              <w:rPr>
                <w:rFonts w:ascii="Helvetica Neue" w:hAnsi="Helvetica Neue"/>
                <w:b/>
                <w:color w:val="68746C"/>
                <w:sz w:val="13"/>
              </w:rPr>
              <w:t>KWH/(M²A)</w:t>
            </w:r>
          </w:p>
        </w:tc>
      </w:tr>
    </w:tbl>
    <w:p>
      <w:pPr>
        <w:keepNext w:val="0"/>
        <w:spacing w:before="0" w:after="140"/>
      </w:pPr>
      <w:r>
        <w:rPr>
          <w:rFonts w:ascii="Helvetica Neue" w:hAnsi="Helvetica Neue"/>
          <w:b w:val="0"/>
          <w:i w:val="0"/>
          <w:color w:val="1D2421"/>
        </w:rPr>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5046"/>
        <w:gridCol w:w="5046"/>
      </w:tblGrid>
      <w:tr>
        <w:trPr>
          <w:cantSplit/>
          <w:tblHeader w:val="true"/>
        </w:trPr>
        <w:tc>
          <w:tcPr>
            <w:tcW w:type="dxa" w:w="5046"/>
            <w:tcMar>
              <w:top w:w="95" w:type="dxa"/>
              <w:start w:w="40" w:type="dxa"/>
              <w:bottom w:w="95" w:type="dxa"/>
              <w:end w:w="40" w:type="dxa"/>
            </w:tcMar>
            <w:tcBorders>
              <w:bottom w:val="single" w:sz="6" w:color="DED8CE"/>
            </w:tcBorders>
          </w:tcPr>
          <w:p>
            <w:pPr>
              <w:spacing w:after="0"/>
            </w:pPr>
            <w:r>
              <w:rPr>
                <w:rFonts w:ascii="Helvetica Neue" w:hAnsi="Helvetica Neue"/>
                <w:b/>
                <w:color w:val="68746C"/>
                <w:sz w:val="14"/>
              </w:rPr>
              <w:t>OBJEKTART</w:t>
            </w:r>
          </w:p>
        </w:tc>
        <w:tc>
          <w:tcPr>
            <w:tcW w:type="dxa" w:w="5046"/>
            <w:tcMar>
              <w:top w:w="95" w:type="dxa"/>
              <w:start w:w="40" w:type="dxa"/>
              <w:bottom w:w="95" w:type="dxa"/>
              <w:end w:w="40" w:type="dxa"/>
            </w:tcMar>
            <w:tcBorders>
              <w:bottom w:val="single" w:sz="6" w:color="DED8CE"/>
            </w:tcBorders>
          </w:tcPr>
          <w:p>
            <w:pPr>
              <w:spacing w:after="0"/>
              <w:jc w:val="right"/>
            </w:pPr>
            <w:r>
              <w:rPr>
                <w:rFonts w:ascii="Baskerville" w:hAnsi="Baskerville"/>
                <w:color w:val="1D2421"/>
                <w:sz w:val="22"/>
              </w:rPr>
              <w:t>Maisonette-Eigentumswohnung</w:t>
            </w:r>
          </w:p>
        </w:tc>
      </w:tr>
      <w:tr>
        <w:trPr>
          <w:cantSplit/>
        </w:trPr>
        <w:tc>
          <w:tcPr>
            <w:tcW w:type="dxa" w:w="5046"/>
            <w:tcMar>
              <w:top w:w="95" w:type="dxa"/>
              <w:start w:w="40" w:type="dxa"/>
              <w:bottom w:w="95" w:type="dxa"/>
              <w:end w:w="40" w:type="dxa"/>
            </w:tcMar>
            <w:tcBorders>
              <w:bottom w:val="single" w:sz="6" w:color="DED8CE"/>
            </w:tcBorders>
          </w:tcPr>
          <w:p>
            <w:pPr>
              <w:spacing w:after="0"/>
            </w:pPr>
            <w:r>
              <w:rPr>
                <w:rFonts w:ascii="Helvetica Neue" w:hAnsi="Helvetica Neue"/>
                <w:b/>
                <w:color w:val="68746C"/>
                <w:sz w:val="14"/>
              </w:rPr>
              <w:t>LAGE IM HAUS</w:t>
            </w:r>
          </w:p>
        </w:tc>
        <w:tc>
          <w:tcPr>
            <w:tcW w:type="dxa" w:w="5046"/>
            <w:tcMar>
              <w:top w:w="95" w:type="dxa"/>
              <w:start w:w="40" w:type="dxa"/>
              <w:bottom w:w="95" w:type="dxa"/>
              <w:end w:w="40" w:type="dxa"/>
            </w:tcMar>
            <w:tcBorders>
              <w:bottom w:val="single" w:sz="6" w:color="DED8CE"/>
            </w:tcBorders>
          </w:tcPr>
          <w:p>
            <w:pPr>
              <w:spacing w:after="0"/>
              <w:jc w:val="right"/>
            </w:pPr>
            <w:r>
              <w:rPr>
                <w:rFonts w:ascii="Baskerville" w:hAnsi="Baskerville"/>
                <w:color w:val="1D2421"/>
                <w:sz w:val="22"/>
              </w:rPr>
              <w:t>2. Obergeschoss plus Dachstudio</w:t>
            </w:r>
          </w:p>
        </w:tc>
      </w:tr>
      <w:tr>
        <w:trPr>
          <w:cantSplit/>
        </w:trPr>
        <w:tc>
          <w:tcPr>
            <w:tcW w:type="dxa" w:w="5046"/>
            <w:tcMar>
              <w:top w:w="95" w:type="dxa"/>
              <w:start w:w="40" w:type="dxa"/>
              <w:bottom w:w="95" w:type="dxa"/>
              <w:end w:w="40" w:type="dxa"/>
            </w:tcMar>
            <w:tcBorders>
              <w:bottom w:val="single" w:sz="6" w:color="DED8CE"/>
            </w:tcBorders>
          </w:tcPr>
          <w:p>
            <w:pPr>
              <w:spacing w:after="0"/>
            </w:pPr>
            <w:r>
              <w:rPr>
                <w:rFonts w:ascii="Helvetica Neue" w:hAnsi="Helvetica Neue"/>
                <w:b/>
                <w:color w:val="68746C"/>
                <w:sz w:val="14"/>
              </w:rPr>
              <w:t>WOHNFLÄCHE</w:t>
            </w:r>
          </w:p>
        </w:tc>
        <w:tc>
          <w:tcPr>
            <w:tcW w:type="dxa" w:w="5046"/>
            <w:tcMar>
              <w:top w:w="95" w:type="dxa"/>
              <w:start w:w="40" w:type="dxa"/>
              <w:bottom w:w="95" w:type="dxa"/>
              <w:end w:w="40" w:type="dxa"/>
            </w:tcMar>
            <w:tcBorders>
              <w:bottom w:val="single" w:sz="6" w:color="DED8CE"/>
            </w:tcBorders>
          </w:tcPr>
          <w:p>
            <w:pPr>
              <w:spacing w:after="0"/>
              <w:jc w:val="right"/>
            </w:pPr>
            <w:r>
              <w:rPr>
                <w:rFonts w:ascii="Baskerville" w:hAnsi="Baskerville"/>
                <w:color w:val="1D2421"/>
                <w:sz w:val="22"/>
              </w:rPr>
              <w:t>ca. 105 m² nach WoFlV</w:t>
            </w:r>
          </w:p>
        </w:tc>
      </w:tr>
      <w:tr>
        <w:trPr>
          <w:cantSplit/>
        </w:trPr>
        <w:tc>
          <w:tcPr>
            <w:tcW w:type="dxa" w:w="5046"/>
            <w:tcMar>
              <w:top w:w="95" w:type="dxa"/>
              <w:start w:w="40" w:type="dxa"/>
              <w:bottom w:w="95" w:type="dxa"/>
              <w:end w:w="40" w:type="dxa"/>
            </w:tcMar>
            <w:tcBorders>
              <w:bottom w:val="single" w:sz="6" w:color="DED8CE"/>
            </w:tcBorders>
          </w:tcPr>
          <w:p>
            <w:pPr>
              <w:spacing w:after="0"/>
            </w:pPr>
            <w:r>
              <w:rPr>
                <w:rFonts w:ascii="Helvetica Neue" w:hAnsi="Helvetica Neue"/>
                <w:b/>
                <w:color w:val="68746C"/>
                <w:sz w:val="14"/>
              </w:rPr>
              <w:t>ZIMMER</w:t>
            </w:r>
          </w:p>
        </w:tc>
        <w:tc>
          <w:tcPr>
            <w:tcW w:type="dxa" w:w="5046"/>
            <w:tcMar>
              <w:top w:w="95" w:type="dxa"/>
              <w:start w:w="40" w:type="dxa"/>
              <w:bottom w:w="95" w:type="dxa"/>
              <w:end w:w="40" w:type="dxa"/>
            </w:tcMar>
            <w:tcBorders>
              <w:bottom w:val="single" w:sz="6" w:color="DED8CE"/>
            </w:tcBorders>
          </w:tcPr>
          <w:p>
            <w:pPr>
              <w:spacing w:after="0"/>
              <w:jc w:val="right"/>
            </w:pPr>
            <w:r>
              <w:rPr>
                <w:rFonts w:ascii="Baskerville" w:hAnsi="Baskerville"/>
                <w:color w:val="1D2421"/>
                <w:sz w:val="22"/>
              </w:rPr>
              <w:t>4</w:t>
            </w:r>
          </w:p>
        </w:tc>
      </w:tr>
      <w:tr>
        <w:trPr>
          <w:cantSplit/>
        </w:trPr>
        <w:tc>
          <w:tcPr>
            <w:tcW w:type="dxa" w:w="5046"/>
            <w:tcMar>
              <w:top w:w="95" w:type="dxa"/>
              <w:start w:w="40" w:type="dxa"/>
              <w:bottom w:w="95" w:type="dxa"/>
              <w:end w:w="40" w:type="dxa"/>
            </w:tcMar>
            <w:tcBorders>
              <w:bottom w:val="single" w:sz="6" w:color="DED8CE"/>
            </w:tcBorders>
          </w:tcPr>
          <w:p>
            <w:pPr>
              <w:spacing w:after="0"/>
            </w:pPr>
            <w:r>
              <w:rPr>
                <w:rFonts w:ascii="Helvetica Neue" w:hAnsi="Helvetica Neue"/>
                <w:b/>
                <w:color w:val="68746C"/>
                <w:sz w:val="14"/>
              </w:rPr>
              <w:t>DACHSTUDIO</w:t>
            </w:r>
          </w:p>
        </w:tc>
        <w:tc>
          <w:tcPr>
            <w:tcW w:type="dxa" w:w="5046"/>
            <w:tcMar>
              <w:top w:w="95" w:type="dxa"/>
              <w:start w:w="40" w:type="dxa"/>
              <w:bottom w:w="95" w:type="dxa"/>
              <w:end w:w="40" w:type="dxa"/>
            </w:tcMar>
            <w:tcBorders>
              <w:bottom w:val="single" w:sz="6" w:color="DED8CE"/>
            </w:tcBorders>
          </w:tcPr>
          <w:p>
            <w:pPr>
              <w:spacing w:after="0"/>
              <w:jc w:val="right"/>
            </w:pPr>
            <w:r>
              <w:rPr>
                <w:rFonts w:ascii="Baskerville" w:hAnsi="Baskerville"/>
                <w:color w:val="1D2421"/>
                <w:sz w:val="22"/>
              </w:rPr>
              <w:t>ca. 30 m²</w:t>
            </w:r>
          </w:p>
        </w:tc>
      </w:tr>
      <w:tr>
        <w:trPr>
          <w:cantSplit/>
        </w:trPr>
        <w:tc>
          <w:tcPr>
            <w:tcW w:type="dxa" w:w="5046"/>
            <w:tcMar>
              <w:top w:w="95" w:type="dxa"/>
              <w:start w:w="40" w:type="dxa"/>
              <w:bottom w:w="95" w:type="dxa"/>
              <w:end w:w="40" w:type="dxa"/>
            </w:tcMar>
            <w:tcBorders>
              <w:bottom w:val="single" w:sz="6" w:color="DED8CE"/>
            </w:tcBorders>
          </w:tcPr>
          <w:p>
            <w:pPr>
              <w:spacing w:after="0"/>
            </w:pPr>
            <w:r>
              <w:rPr>
                <w:rFonts w:ascii="Helvetica Neue" w:hAnsi="Helvetica Neue"/>
                <w:b/>
                <w:color w:val="68746C"/>
                <w:sz w:val="14"/>
              </w:rPr>
              <w:t>BALKON</w:t>
            </w:r>
          </w:p>
        </w:tc>
        <w:tc>
          <w:tcPr>
            <w:tcW w:type="dxa" w:w="5046"/>
            <w:tcMar>
              <w:top w:w="95" w:type="dxa"/>
              <w:start w:w="40" w:type="dxa"/>
              <w:bottom w:w="95" w:type="dxa"/>
              <w:end w:w="40" w:type="dxa"/>
            </w:tcMar>
            <w:tcBorders>
              <w:bottom w:val="single" w:sz="6" w:color="DED8CE"/>
            </w:tcBorders>
          </w:tcPr>
          <w:p>
            <w:pPr>
              <w:spacing w:after="0"/>
              <w:jc w:val="right"/>
            </w:pPr>
            <w:r>
              <w:rPr>
                <w:rFonts w:ascii="Baskerville" w:hAnsi="Baskerville"/>
                <w:color w:val="1D2421"/>
                <w:sz w:val="22"/>
              </w:rPr>
              <w:t>Südwestorientierung mit Markise</w:t>
            </w:r>
          </w:p>
        </w:tc>
      </w:tr>
      <w:tr>
        <w:trPr>
          <w:cantSplit/>
        </w:trPr>
        <w:tc>
          <w:tcPr>
            <w:tcW w:type="dxa" w:w="5046"/>
            <w:tcMar>
              <w:top w:w="95" w:type="dxa"/>
              <w:start w:w="40" w:type="dxa"/>
              <w:bottom w:w="95" w:type="dxa"/>
              <w:end w:w="40" w:type="dxa"/>
            </w:tcMar>
            <w:tcBorders>
              <w:bottom w:val="single" w:sz="6" w:color="DED8CE"/>
            </w:tcBorders>
          </w:tcPr>
          <w:p>
            <w:pPr>
              <w:spacing w:after="0"/>
            </w:pPr>
            <w:r>
              <w:rPr>
                <w:rFonts w:ascii="Helvetica Neue" w:hAnsi="Helvetica Neue"/>
                <w:b/>
                <w:color w:val="68746C"/>
                <w:sz w:val="14"/>
              </w:rPr>
              <w:t>BAD</w:t>
            </w:r>
          </w:p>
        </w:tc>
        <w:tc>
          <w:tcPr>
            <w:tcW w:type="dxa" w:w="5046"/>
            <w:tcMar>
              <w:top w:w="95" w:type="dxa"/>
              <w:start w:w="40" w:type="dxa"/>
              <w:bottom w:w="95" w:type="dxa"/>
              <w:end w:w="40" w:type="dxa"/>
            </w:tcMar>
            <w:tcBorders>
              <w:bottom w:val="single" w:sz="6" w:color="DED8CE"/>
            </w:tcBorders>
          </w:tcPr>
          <w:p>
            <w:pPr>
              <w:spacing w:after="0"/>
              <w:jc w:val="right"/>
            </w:pPr>
            <w:r>
              <w:rPr>
                <w:rFonts w:ascii="Baskerville" w:hAnsi="Baskerville"/>
                <w:color w:val="1D2421"/>
                <w:sz w:val="22"/>
              </w:rPr>
              <w:t>renoviert, Tageslicht, Walk-in-Dusche, Doppelwaschtisch</w:t>
            </w:r>
          </w:p>
        </w:tc>
      </w:tr>
      <w:tr>
        <w:trPr>
          <w:cantSplit/>
        </w:trPr>
        <w:tc>
          <w:tcPr>
            <w:tcW w:type="dxa" w:w="5046"/>
            <w:tcMar>
              <w:top w:w="95" w:type="dxa"/>
              <w:start w:w="40" w:type="dxa"/>
              <w:bottom w:w="95" w:type="dxa"/>
              <w:end w:w="40" w:type="dxa"/>
            </w:tcMar>
            <w:tcBorders>
              <w:bottom w:val="single" w:sz="6" w:color="DED8CE"/>
            </w:tcBorders>
          </w:tcPr>
          <w:p>
            <w:pPr>
              <w:spacing w:after="0"/>
            </w:pPr>
            <w:r>
              <w:rPr>
                <w:rFonts w:ascii="Helvetica Neue" w:hAnsi="Helvetica Neue"/>
                <w:b/>
                <w:color w:val="68746C"/>
                <w:sz w:val="14"/>
              </w:rPr>
              <w:t>HEIZUNG</w:t>
            </w:r>
          </w:p>
        </w:tc>
        <w:tc>
          <w:tcPr>
            <w:tcW w:type="dxa" w:w="5046"/>
            <w:tcMar>
              <w:top w:w="95" w:type="dxa"/>
              <w:start w:w="40" w:type="dxa"/>
              <w:bottom w:w="95" w:type="dxa"/>
              <w:end w:w="40" w:type="dxa"/>
            </w:tcMar>
            <w:tcBorders>
              <w:bottom w:val="single" w:sz="6" w:color="DED8CE"/>
            </w:tcBorders>
          </w:tcPr>
          <w:p>
            <w:pPr>
              <w:spacing w:after="0"/>
              <w:jc w:val="right"/>
            </w:pPr>
            <w:r>
              <w:rPr>
                <w:rFonts w:ascii="Baskerville" w:hAnsi="Baskerville"/>
                <w:color w:val="1D2421"/>
                <w:sz w:val="22"/>
              </w:rPr>
              <w:t>Gaszentralheizung, Fußbodenheizung</w:t>
            </w:r>
          </w:p>
        </w:tc>
      </w:tr>
      <w:tr>
        <w:trPr>
          <w:cantSplit/>
        </w:trPr>
        <w:tc>
          <w:tcPr>
            <w:tcW w:type="dxa" w:w="5046"/>
            <w:tcMar>
              <w:top w:w="95" w:type="dxa"/>
              <w:start w:w="40" w:type="dxa"/>
              <w:bottom w:w="95" w:type="dxa"/>
              <w:end w:w="40" w:type="dxa"/>
            </w:tcMar>
            <w:tcBorders>
              <w:bottom w:val="single" w:sz="6" w:color="DED8CE"/>
            </w:tcBorders>
          </w:tcPr>
          <w:p>
            <w:pPr>
              <w:spacing w:after="0"/>
            </w:pPr>
            <w:r>
              <w:rPr>
                <w:rFonts w:ascii="Helvetica Neue" w:hAnsi="Helvetica Neue"/>
                <w:b/>
                <w:color w:val="68746C"/>
                <w:sz w:val="14"/>
              </w:rPr>
              <w:t>NEBENFLÄCHEN</w:t>
            </w:r>
          </w:p>
        </w:tc>
        <w:tc>
          <w:tcPr>
            <w:tcW w:type="dxa" w:w="5046"/>
            <w:tcMar>
              <w:top w:w="95" w:type="dxa"/>
              <w:start w:w="40" w:type="dxa"/>
              <w:bottom w:w="95" w:type="dxa"/>
              <w:end w:w="40" w:type="dxa"/>
            </w:tcMar>
            <w:tcBorders>
              <w:bottom w:val="single" w:sz="6" w:color="DED8CE"/>
            </w:tcBorders>
          </w:tcPr>
          <w:p>
            <w:pPr>
              <w:spacing w:after="0"/>
              <w:jc w:val="right"/>
            </w:pPr>
            <w:r>
              <w:rPr>
                <w:rFonts w:ascii="Baskerville" w:hAnsi="Baskerville"/>
                <w:color w:val="1D2421"/>
                <w:sz w:val="22"/>
              </w:rPr>
              <w:t>eigener Kellerraum, gemeinschaftlicher Waschraum</w:t>
            </w:r>
          </w:p>
        </w:tc>
      </w:tr>
      <w:tr>
        <w:trPr>
          <w:cantSplit/>
        </w:trPr>
        <w:tc>
          <w:tcPr>
            <w:tcW w:type="dxa" w:w="5046"/>
            <w:tcMar>
              <w:top w:w="95" w:type="dxa"/>
              <w:start w:w="40" w:type="dxa"/>
              <w:bottom w:w="95" w:type="dxa"/>
              <w:end w:w="40" w:type="dxa"/>
            </w:tcMar>
            <w:tcBorders>
              <w:bottom w:val="single" w:sz="6" w:color="DED8CE"/>
            </w:tcBorders>
          </w:tcPr>
          <w:p>
            <w:pPr>
              <w:spacing w:after="0"/>
            </w:pPr>
            <w:r>
              <w:rPr>
                <w:rFonts w:ascii="Helvetica Neue" w:hAnsi="Helvetica Neue"/>
                <w:b/>
                <w:color w:val="68746C"/>
                <w:sz w:val="14"/>
              </w:rPr>
              <w:t>STELLPLATZ</w:t>
            </w:r>
          </w:p>
        </w:tc>
        <w:tc>
          <w:tcPr>
            <w:tcW w:type="dxa" w:w="5046"/>
            <w:tcMar>
              <w:top w:w="95" w:type="dxa"/>
              <w:start w:w="40" w:type="dxa"/>
              <w:bottom w:w="95" w:type="dxa"/>
              <w:end w:w="40" w:type="dxa"/>
            </w:tcMar>
            <w:tcBorders>
              <w:bottom w:val="single" w:sz="6" w:color="DED8CE"/>
            </w:tcBorders>
          </w:tcPr>
          <w:p>
            <w:pPr>
              <w:spacing w:after="0"/>
              <w:jc w:val="right"/>
            </w:pPr>
            <w:r>
              <w:rPr>
                <w:rFonts w:ascii="Baskerville" w:hAnsi="Baskerville"/>
                <w:color w:val="1D2421"/>
                <w:sz w:val="22"/>
              </w:rPr>
              <w:t>1 Garage, im Kaufpreis enthalten</w:t>
            </w:r>
          </w:p>
        </w:tc>
      </w:tr>
      <w:tr>
        <w:trPr>
          <w:cantSplit/>
        </w:trPr>
        <w:tc>
          <w:tcPr>
            <w:tcW w:type="dxa" w:w="5046"/>
            <w:tcMar>
              <w:top w:w="95" w:type="dxa"/>
              <w:start w:w="40" w:type="dxa"/>
              <w:bottom w:w="95" w:type="dxa"/>
              <w:end w:w="40" w:type="dxa"/>
            </w:tcMar>
            <w:tcBorders>
              <w:bottom w:val="single" w:sz="6" w:color="DED8CE"/>
            </w:tcBorders>
          </w:tcPr>
          <w:p>
            <w:pPr>
              <w:spacing w:after="0"/>
            </w:pPr>
            <w:r>
              <w:rPr>
                <w:rFonts w:ascii="Helvetica Neue" w:hAnsi="Helvetica Neue"/>
                <w:b/>
                <w:color w:val="68746C"/>
                <w:sz w:val="14"/>
              </w:rPr>
              <w:t>VERFÜGBARKEIT</w:t>
            </w:r>
          </w:p>
        </w:tc>
        <w:tc>
          <w:tcPr>
            <w:tcW w:type="dxa" w:w="5046"/>
            <w:tcMar>
              <w:top w:w="95" w:type="dxa"/>
              <w:start w:w="40" w:type="dxa"/>
              <w:bottom w:w="95" w:type="dxa"/>
              <w:end w:w="40" w:type="dxa"/>
            </w:tcMar>
            <w:tcBorders>
              <w:bottom w:val="single" w:sz="6" w:color="DED8CE"/>
            </w:tcBorders>
          </w:tcPr>
          <w:p>
            <w:pPr>
              <w:spacing w:after="0"/>
              <w:jc w:val="right"/>
            </w:pPr>
            <w:r>
              <w:rPr>
                <w:rFonts w:ascii="Baskerville" w:hAnsi="Baskerville"/>
                <w:color w:val="1D2421"/>
                <w:sz w:val="22"/>
              </w:rPr>
              <w:t>nach Vereinbarung</w:t>
            </w:r>
          </w:p>
        </w:tc>
      </w:tr>
      <w:tr>
        <w:trPr>
          <w:cantSplit/>
        </w:trPr>
        <w:tc>
          <w:tcPr>
            <w:tcW w:type="dxa" w:w="5046"/>
            <w:tcMar>
              <w:top w:w="95" w:type="dxa"/>
              <w:start w:w="40" w:type="dxa"/>
              <w:bottom w:w="95" w:type="dxa"/>
              <w:end w:w="40" w:type="dxa"/>
            </w:tcMar>
            <w:tcBorders>
              <w:bottom w:val="single" w:sz="6" w:color="DED8CE"/>
            </w:tcBorders>
          </w:tcPr>
          <w:p>
            <w:pPr>
              <w:spacing w:after="0"/>
            </w:pPr>
            <w:r>
              <w:rPr>
                <w:rFonts w:ascii="Helvetica Neue" w:hAnsi="Helvetica Neue"/>
                <w:b/>
                <w:color w:val="68746C"/>
                <w:sz w:val="14"/>
              </w:rPr>
              <w:t>KAUFPREIS</w:t>
            </w:r>
          </w:p>
        </w:tc>
        <w:tc>
          <w:tcPr>
            <w:tcW w:type="dxa" w:w="5046"/>
            <w:tcMar>
              <w:top w:w="95" w:type="dxa"/>
              <w:start w:w="40" w:type="dxa"/>
              <w:bottom w:w="95" w:type="dxa"/>
              <w:end w:w="40" w:type="dxa"/>
            </w:tcMar>
            <w:tcBorders>
              <w:bottom w:val="single" w:sz="6" w:color="DED8CE"/>
            </w:tcBorders>
          </w:tcPr>
          <w:p>
            <w:pPr>
              <w:spacing w:after="0"/>
              <w:jc w:val="right"/>
            </w:pPr>
            <w:r>
              <w:rPr>
                <w:rFonts w:ascii="Baskerville" w:hAnsi="Baskerville"/>
                <w:color w:val="1D2421"/>
                <w:sz w:val="22"/>
              </w:rPr>
              <w:t>379.000 € inklusive Garage</w:t>
            </w:r>
          </w:p>
        </w:tc>
      </w:tr>
    </w:tbl>
    <w:p>
      <w:pPr>
        <w:keepNext w:val="0"/>
        <w:spacing w:before="160" w:after="0"/>
      </w:pPr>
      <w:r>
        <w:rPr>
          <w:rFonts w:ascii="Helvetica Neue" w:hAnsi="Helvetica Neue"/>
          <w:b w:val="0"/>
          <w:i w:val="0"/>
          <w:color w:val="68746C"/>
          <w:sz w:val="15"/>
        </w:rPr>
        <w:t>Energiekennwert laut vorliegenden Angaben: 98,5 kWh/(m²a), Energieträger Gas. Art und Gültigkeit des Energieausweises sowie Effizienzklasse sind vor Veröffentlichung zu ergänzen.</w:t>
      </w:r>
    </w:p>
    <w:p>
      <w:r>
        <w:br w:type="page"/>
      </w:r>
    </w:p>
    <w:p>
      <w:pPr>
        <w:keepNext/>
        <w:spacing w:before="0" w:after="100"/>
      </w:pPr>
      <w:r>
        <w:rPr>
          <w:rFonts w:ascii="Helvetica Neue" w:hAnsi="Helvetica Neue"/>
          <w:b/>
          <w:i w:val="0"/>
          <w:color w:val="9A7555"/>
          <w:sz w:val="15"/>
        </w:rPr>
        <w:t>KORNELIMÜNSTER</w:t>
      </w:r>
    </w:p>
    <w:p>
      <w:pPr>
        <w:pStyle w:val="Heading1"/>
        <w:spacing w:after="160"/>
      </w:pPr>
      <w:r>
        <w:rPr>
          <w:rFonts w:ascii="Baskerville" w:hAnsi="Baskerville"/>
          <w:b w:val="0"/>
          <w:color w:val="1D2421"/>
          <w:sz w:val="48"/>
        </w:rPr>
        <w:t>Historischer Ortskern. Natur vor der Tür. Aachen in Reichweite.</w:t>
      </w:r>
    </w:p>
    <w:p>
      <w:pPr>
        <w:keepNext/>
        <w:spacing w:after="0"/>
        <w:jc w:val="center"/>
      </w:pPr>
      <w:r>
        <w:drawing>
          <wp:inline xmlns:a="http://schemas.openxmlformats.org/drawingml/2006/main" xmlns:pic="http://schemas.openxmlformats.org/drawingml/2006/picture">
            <wp:extent cx="6408000" cy="4806000"/>
            <wp:docPr id="12" name="Picture 12" descr="Begrünter Balkon mit Markise und Blick über Gärten, Dächer und den Kirchturm von Kornelimünster." title="Begrünter Balkon mit Markise und Blick über Gärten, Dächer und den Kirchturm von Kornelimünster."/>
            <wp:cNvGraphicFramePr>
              <a:graphicFrameLocks noChangeAspect="1"/>
            </wp:cNvGraphicFramePr>
            <a:graphic>
              <a:graphicData uri="http://schemas.openxmlformats.org/drawingml/2006/picture">
                <pic:pic>
                  <pic:nvPicPr>
                    <pic:cNvPr id="0" name="04_balkon_ausblick.jpg"/>
                    <pic:cNvPicPr/>
                  </pic:nvPicPr>
                  <pic:blipFill>
                    <a:blip r:embed="rId21"/>
                    <a:stretch>
                      <a:fillRect/>
                    </a:stretch>
                  </pic:blipFill>
                  <pic:spPr>
                    <a:xfrm>
                      <a:off x="0" y="0"/>
                      <a:ext cx="6408000" cy="4806000"/>
                    </a:xfrm>
                    <a:prstGeom prst="rect"/>
                  </pic:spPr>
                </pic:pic>
              </a:graphicData>
            </a:graphic>
          </wp:inline>
        </w:drawing>
      </w:r>
    </w:p>
    <w:p>
      <w:pPr>
        <w:pStyle w:val="Caption"/>
        <w:jc w:val="left"/>
      </w:pPr>
      <w:r>
        <w:t>Blick über Gärten und Dächer in Richtung des historischen Ortskerns.</w:t>
      </w:r>
    </w:p>
    <w:p>
      <w:pPr>
        <w:spacing w:after="140"/>
        <w:jc w:val="both"/>
      </w:pPr>
      <w:r>
        <w:t>Kornelimünster zählt zu den charakterstärksten Wohnlagen im Süden Aachens. Rund um den historischen Ortskern verbinden sich gewachsene Architektur, Cafés, Marktleben und kurze Wege in die Natur zu einer besonderen Alltagsqualität.</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3364"/>
        <w:gridCol w:w="3364"/>
        <w:gridCol w:w="3364"/>
      </w:tblGrid>
      <w:tr>
        <w:trPr>
          <w:tblHeader w:val="true"/>
        </w:trPr>
        <w:tc>
          <w:tcPr>
            <w:tcW w:type="dxa" w:w="3364"/>
            <w:tcMar>
              <w:top w:w="80" w:type="dxa"/>
              <w:start w:w="130" w:type="dxa"/>
              <w:bottom w:w="80" w:type="dxa"/>
              <w:end w:w="130" w:type="dxa"/>
            </w:tcMar>
          </w:tcPr>
          <w:p>
            <w:pPr>
              <w:spacing w:after="80"/>
            </w:pPr>
            <w:r>
              <w:rPr>
                <w:rFonts w:ascii="Baskerville" w:hAnsi="Baskerville"/>
                <w:color w:val="9A7555"/>
                <w:sz w:val="26"/>
              </w:rPr>
              <w:t>Nah versorgt</w:t>
            </w:r>
          </w:p>
          <w:p>
            <w:pPr>
              <w:spacing w:after="0" w:line="269" w:lineRule="auto"/>
            </w:pPr>
            <w:r>
              <w:t>Angebote des täglichen Bedarfs, Gastronomie und der historische Ortskern liegen im nahen Umfeld.</w:t>
            </w:r>
          </w:p>
        </w:tc>
        <w:tc>
          <w:tcPr>
            <w:tcW w:type="dxa" w:w="3364"/>
            <w:tcMar>
              <w:top w:w="80" w:type="dxa"/>
              <w:start w:w="130" w:type="dxa"/>
              <w:bottom w:w="80" w:type="dxa"/>
              <w:end w:w="130" w:type="dxa"/>
            </w:tcMar>
          </w:tcPr>
          <w:p>
            <w:pPr>
              <w:spacing w:after="80"/>
            </w:pPr>
            <w:r>
              <w:rPr>
                <w:rFonts w:ascii="Baskerville" w:hAnsi="Baskerville"/>
                <w:color w:val="9A7555"/>
                <w:sz w:val="26"/>
              </w:rPr>
              <w:t>Gut verbunden</w:t>
            </w:r>
          </w:p>
          <w:p>
            <w:pPr>
              <w:spacing w:after="0" w:line="269" w:lineRule="auto"/>
            </w:pPr>
            <w:r>
              <w:t>Busverbindungen führen nach Aachen; die A44 ist über Brand beziehungsweise Lichtenbusch erreichbar.</w:t>
            </w:r>
          </w:p>
        </w:tc>
        <w:tc>
          <w:tcPr>
            <w:tcW w:type="dxa" w:w="3364"/>
            <w:tcMar>
              <w:top w:w="80" w:type="dxa"/>
              <w:start w:w="130" w:type="dxa"/>
              <w:bottom w:w="80" w:type="dxa"/>
              <w:end w:w="130" w:type="dxa"/>
            </w:tcMar>
          </w:tcPr>
          <w:p>
            <w:pPr>
              <w:spacing w:after="80"/>
            </w:pPr>
            <w:r>
              <w:rPr>
                <w:rFonts w:ascii="Baskerville" w:hAnsi="Baskerville"/>
                <w:color w:val="9A7555"/>
                <w:sz w:val="26"/>
              </w:rPr>
              <w:t>Grenznah leben</w:t>
            </w:r>
          </w:p>
          <w:p>
            <w:pPr>
              <w:spacing w:after="0" w:line="269" w:lineRule="auto"/>
            </w:pPr>
            <w:r>
              <w:t>Belgien und die Niederlande erweitern den Radius für Freizeit, Kultur und Ausflüge.</w:t>
            </w:r>
          </w:p>
        </w:tc>
      </w:tr>
    </w:tbl>
    <w:tbl>
      <w:tblPr>
        <w:tblW w:type="auto" w:w="0"/>
        <w:tblLook w:firstColumn="1" w:firstRow="1" w:lastColumn="0" w:lastRow="0" w:noHBand="0" w:noVBand="1" w:val="04A0"/>
        <w:tblBorders>
          <w:top w:val="nil"/>
          <w:left w:val="nil"/>
          <w:bottom w:val="nil"/>
          <w:right w:val="nil"/>
          <w:insideH w:val="nil"/>
          <w:insideV w:val="nil"/>
        </w:tblBorders>
      </w:tblPr>
      <w:tblGrid>
        <w:gridCol w:w="10092"/>
      </w:tblGrid>
      <w:tr>
        <w:trPr>
          <w:tblHeader w:val="true"/>
        </w:trPr>
        <w:tc>
          <w:tcPr>
            <w:tcW w:type="dxa" w:w="10092"/>
            <w:shd w:fill="F5F1EA"/>
            <w:tcMar>
              <w:top w:w="190" w:type="dxa"/>
              <w:start w:w="230" w:type="dxa"/>
              <w:bottom w:w="180" w:type="dxa"/>
              <w:end w:w="230" w:type="dxa"/>
            </w:tcMar>
          </w:tcPr>
          <w:p>
            <w:pPr>
              <w:spacing w:after="80"/>
            </w:pPr>
            <w:r>
              <w:rPr>
                <w:rFonts w:ascii="Baskerville" w:hAnsi="Baskerville"/>
                <w:color w:val="9A7555"/>
                <w:sz w:val="28"/>
              </w:rPr>
              <w:t>Eine Lage mit eigener Identität</w:t>
            </w:r>
          </w:p>
          <w:p>
            <w:pPr>
              <w:spacing w:after="0" w:line="276" w:lineRule="auto"/>
            </w:pPr>
            <w:r>
              <w:t>Nicht die Anonymität eines Neubauquartiers, sondern ein lebendiger, historisch gewachsener Ort bildet den Rahmen dieser Wohnung.</w:t>
            </w:r>
          </w:p>
        </w:tc>
      </w:tr>
    </w:tbl>
    <w:p>
      <w:r>
        <w:br w:type="page"/>
      </w:r>
    </w:p>
    <w:p>
      <w:pPr>
        <w:keepNext/>
        <w:spacing w:before="0" w:after="100"/>
      </w:pPr>
      <w:r>
        <w:rPr>
          <w:rFonts w:ascii="Helvetica Neue" w:hAnsi="Helvetica Neue"/>
          <w:b/>
          <w:i w:val="0"/>
          <w:color w:val="9A7555"/>
          <w:sz w:val="15"/>
        </w:rPr>
        <w:t>BESICHTIGUNG &amp; KONTAKT</w:t>
      </w:r>
    </w:p>
    <w:p>
      <w:pPr>
        <w:pStyle w:val="Heading1"/>
        <w:spacing w:after="160"/>
      </w:pPr>
      <w:r>
        <w:rPr>
          <w:rFonts w:ascii="Baskerville" w:hAnsi="Baskerville"/>
          <w:b w:val="0"/>
          <w:color w:val="1D2421"/>
          <w:sz w:val="48"/>
        </w:rPr>
        <w:t>Diese Wohnung wirkt am stärksten vor Ort</w:t>
      </w:r>
    </w:p>
    <w:p>
      <w:pPr>
        <w:keepNext/>
        <w:spacing w:after="0"/>
        <w:jc w:val="center"/>
      </w:pPr>
      <w:r>
        <w:drawing>
          <wp:inline xmlns:a="http://schemas.openxmlformats.org/drawingml/2006/main" xmlns:pic="http://schemas.openxmlformats.org/drawingml/2006/picture">
            <wp:extent cx="3528000" cy="4704000"/>
            <wp:docPr id="13" name="Picture 13" descr="Helle, gepflegte Diele mit weißer Kommode und Blick in das angrenzende Bad." title="Helle, gepflegte Diele mit weißer Kommode und Blick in das angrenzende Bad."/>
            <wp:cNvGraphicFramePr>
              <a:graphicFrameLocks noChangeAspect="1"/>
            </wp:cNvGraphicFramePr>
            <a:graphic>
              <a:graphicData uri="http://schemas.openxmlformats.org/drawingml/2006/picture">
                <pic:pic>
                  <pic:nvPicPr>
                    <pic:cNvPr id="0" name="11_diele.jpg"/>
                    <pic:cNvPicPr/>
                  </pic:nvPicPr>
                  <pic:blipFill>
                    <a:blip r:embed="rId22"/>
                    <a:stretch>
                      <a:fillRect/>
                    </a:stretch>
                  </pic:blipFill>
                  <pic:spPr>
                    <a:xfrm>
                      <a:off x="0" y="0"/>
                      <a:ext cx="3528000" cy="4704000"/>
                    </a:xfrm>
                    <a:prstGeom prst="rect"/>
                  </pic:spPr>
                </pic:pic>
              </a:graphicData>
            </a:graphic>
          </wp:inline>
        </w:drawing>
      </w:r>
    </w:p>
    <w:p>
      <w:pPr>
        <w:pStyle w:val="Caption"/>
        <w:jc w:val="left"/>
      </w:pPr>
      <w:r>
        <w:t>Ein gepflegter Empfang und der Auftakt zu einer ungewöhnlich großzügigen Maisonette.</w:t>
      </w:r>
    </w:p>
    <w:p>
      <w:pPr>
        <w:keepNext w:val="0"/>
        <w:spacing w:before="160" w:after="20"/>
      </w:pPr>
      <w:r>
        <w:rPr>
          <w:rFonts w:ascii="Baskerville" w:hAnsi="Baskerville"/>
          <w:b w:val="0"/>
          <w:i w:val="0"/>
          <w:color w:val="1D2421"/>
          <w:sz w:val="50"/>
        </w:rPr>
        <w:t>379.000 €</w:t>
      </w:r>
    </w:p>
    <w:p>
      <w:pPr>
        <w:keepNext w:val="0"/>
        <w:spacing w:before="0" w:after="200"/>
      </w:pPr>
      <w:r>
        <w:rPr>
          <w:rFonts w:ascii="Helvetica Neue" w:hAnsi="Helvetica Neue"/>
          <w:b w:val="0"/>
          <w:i w:val="0"/>
          <w:color w:val="68746C"/>
          <w:sz w:val="16"/>
        </w:rPr>
        <w:t>KAUFPREIS INKLUSIVE GARAGE</w:t>
      </w:r>
    </w:p>
    <w:p>
      <w:pPr>
        <w:spacing w:after="140"/>
        <w:jc w:val="left"/>
      </w:pPr>
      <w:r>
        <w:t>Gerne wird ein persönlicher Besichtigungstermin vereinbart. Die Übergabe erfolgt nach Vereinbarung.</w:t>
      </w:r>
    </w:p>
    <w:tbl>
      <w:tblPr>
        <w:tblW w:type="auto" w:w="0"/>
        <w:tblLook w:firstColumn="1" w:firstRow="1" w:lastColumn="0" w:lastRow="0" w:noHBand="0" w:noVBand="1" w:val="04A0"/>
        <w:tblBorders>
          <w:top w:val="nil"/>
          <w:left w:val="nil"/>
          <w:bottom w:val="nil"/>
          <w:right w:val="nil"/>
          <w:insideH w:val="nil"/>
          <w:insideV w:val="nil"/>
        </w:tblBorders>
      </w:tblPr>
      <w:tblGrid>
        <w:gridCol w:w="10092"/>
      </w:tblGrid>
      <w:tr>
        <w:trPr>
          <w:tblHeader w:val="true"/>
        </w:trPr>
        <w:tc>
          <w:tcPr>
            <w:tcW w:type="dxa" w:w="10092"/>
            <w:shd w:fill="E7E6E0"/>
            <w:tcMar>
              <w:top w:w="190" w:type="dxa"/>
              <w:start w:w="230" w:type="dxa"/>
              <w:bottom w:w="180" w:type="dxa"/>
              <w:end w:w="230" w:type="dxa"/>
            </w:tcMar>
          </w:tcPr>
          <w:p>
            <w:pPr>
              <w:spacing w:after="80"/>
            </w:pPr>
            <w:r>
              <w:rPr>
                <w:rFonts w:ascii="Baskerville" w:hAnsi="Baskerville"/>
                <w:color w:val="9A7555"/>
                <w:sz w:val="28"/>
              </w:rPr>
              <w:t>Kontakt</w:t>
            </w:r>
          </w:p>
          <w:p>
            <w:pPr>
              <w:spacing w:after="0" w:line="276" w:lineRule="auto"/>
            </w:pPr>
            <w:r>
              <w:t>Ansprechpartner · wird ergänzt</w:t>
              <w:br/>
              <w:t>Telefon · wird ergänzt</w:t>
              <w:br/>
              <w:t>E-Mail · wird ergänzt</w:t>
            </w:r>
          </w:p>
        </w:tc>
      </w:tr>
    </w:tbl>
    <w:p>
      <w:pPr>
        <w:keepNext w:val="0"/>
        <w:spacing w:before="160" w:after="60"/>
      </w:pPr>
      <w:r>
        <w:rPr>
          <w:rFonts w:ascii="Helvetica Neue" w:hAnsi="Helvetica Neue"/>
          <w:b/>
          <w:i w:val="0"/>
          <w:color w:val="9A7555"/>
          <w:sz w:val="13"/>
        </w:rPr>
        <w:t>VOR VERÖFFENTLICHUNG ZU VERVOLLSTÄNDIGEN</w:t>
      </w:r>
    </w:p>
    <w:p>
      <w:pPr>
        <w:keepNext w:val="0"/>
        <w:spacing w:before="0" w:after="120"/>
      </w:pPr>
      <w:r>
        <w:rPr>
          <w:rFonts w:ascii="Helvetica Neue" w:hAnsi="Helvetica Neue"/>
          <w:b w:val="0"/>
          <w:i w:val="0"/>
          <w:color w:val="68746C"/>
          <w:sz w:val="14"/>
        </w:rPr>
        <w:t>Kontaktdaten · Maklerprovision · Art/Gültigkeit des Energieausweises · Effizienzklasse · Modernisierungsjahre · Angaben zur Instandhaltungsrücklage · Bedingungen einer möglichen Küchenübernahme</w:t>
      </w:r>
    </w:p>
    <w:p>
      <w:pPr>
        <w:keepNext w:val="0"/>
        <w:spacing w:before="0" w:after="0"/>
      </w:pPr>
      <w:r>
        <w:rPr>
          <w:rFonts w:ascii="Helvetica Neue" w:hAnsi="Helvetica Neue"/>
          <w:b w:val="0"/>
          <w:i w:val="0"/>
          <w:color w:val="68746C"/>
          <w:sz w:val="13"/>
        </w:rPr>
        <w:t>Alle Angaben beruhen auf den vorliegenden Informationen. Irrtum und Zwischenverkauf bleiben vorbehalten. Maßangaben und Flächenangaben sind vor Vertragsabschluss anhand der Originalunterlagen zu prüfen. Visualisierungen wurden ausschließlich in Licht, Perspektive und dekorativen Details behutsam optimiert; Raumstruktur und Ausstattung bleiben erkennbar.</w:t>
      </w:r>
    </w:p>
    <w:sectPr w:rsidR="00FC693F" w:rsidRPr="0006063C" w:rsidSect="00034616">
      <w:headerReference w:type="first" r:id="rId9"/>
      <w:footerReference w:type="first" r:id="rId10"/>
      <w:footerReference w:type="default" r:id="rId11"/>
      <w:pgSz w:w="11906" w:h="16838"/>
      <w:pgMar w:top="765" w:right="907" w:bottom="709" w:left="907" w:header="312" w:footer="312" w:gutter="0"/>
      <w:cols w:space="720"/>
      <w:titlePg/>
      <w:docGrid w:linePitch="360"/>
      <w:shd w:fill="FBFAF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Helvetica Neue" w:hAnsi="Helvetica Neue"/>
        <w:color w:val="68746C"/>
        <w:sz w:val="16"/>
      </w:rPr>
      <w:fldChar w:fldCharType="begin"/>
      <w:instrText xml:space="preserve">PAGE</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Rule="auto" w:line="283"/>
    </w:pPr>
    <w:rPr>
      <w:rFonts w:ascii="Helvetica Neue" w:hAnsi="Helvetica Neue"/>
      <w:color w:val="1D2421"/>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140"/>
      <w:outlineLvl w:val="0"/>
    </w:pPr>
    <w:rPr>
      <w:rFonts w:asciiTheme="majorHAnsi" w:eastAsiaTheme="majorEastAsia" w:hAnsiTheme="majorHAnsi" w:cstheme="majorBidi" w:ascii="Baskerville" w:hAnsi="Baskerville"/>
      <w:b w:val="0"/>
      <w:bCs/>
      <w:color w:val="1D2421"/>
      <w:sz w:val="48"/>
      <w:szCs w:val="28"/>
    </w:rPr>
  </w:style>
  <w:style w:type="paragraph" w:styleId="Heading2">
    <w:name w:val="heading 2"/>
    <w:basedOn w:val="Normal"/>
    <w:next w:val="Normal"/>
    <w:link w:val="Heading2Char"/>
    <w:uiPriority w:val="9"/>
    <w:unhideWhenUsed/>
    <w:qFormat/>
    <w:rsid w:val="00FC693F"/>
    <w:pPr>
      <w:keepNext/>
      <w:keepLines/>
      <w:spacing w:before="0" w:after="140"/>
      <w:outlineLvl w:val="1"/>
    </w:pPr>
    <w:rPr>
      <w:rFonts w:asciiTheme="majorHAnsi" w:eastAsiaTheme="majorEastAsia" w:hAnsiTheme="majorHAnsi" w:cstheme="majorBidi" w:ascii="Baskerville" w:hAnsi="Baskerville"/>
      <w:b w:val="0"/>
      <w:bCs/>
      <w:color w:val="1D2421"/>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60" w:line="240" w:lineRule="auto"/>
      <w:contextualSpacing/>
    </w:pPr>
    <w:rPr>
      <w:rFonts w:asciiTheme="majorHAnsi" w:eastAsiaTheme="majorEastAsia" w:hAnsiTheme="majorHAnsi" w:cstheme="majorBidi" w:ascii="Baskerville" w:hAnsi="Baskerville"/>
      <w:b w:val="0"/>
      <w:color w:val="1D2421"/>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240"/>
    </w:pPr>
    <w:rPr>
      <w:rFonts w:asciiTheme="majorHAnsi" w:eastAsiaTheme="majorEastAsia" w:hAnsiTheme="majorHAnsi" w:cstheme="majorBidi" w:ascii="Helvetica Neue" w:hAnsi="Helvetica Neue"/>
      <w:i/>
      <w:iCs/>
      <w:color w:val="68746C"/>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before="60" w:after="120"/>
    </w:pPr>
    <w:rPr>
      <w:rFonts w:ascii="Helvetica Neue" w:hAnsi="Helvetica Neue"/>
      <w:b/>
      <w:bCs/>
      <w:color w:val="68746C"/>
      <w:sz w:val="15"/>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jpg"/><Relationship Id="rId13" Type="http://schemas.openxmlformats.org/officeDocument/2006/relationships/image" Target="media/image2.jpg"/><Relationship Id="rId14" Type="http://schemas.openxmlformats.org/officeDocument/2006/relationships/image" Target="media/image3.jpg"/><Relationship Id="rId15" Type="http://schemas.openxmlformats.org/officeDocument/2006/relationships/image" Target="media/image4.jpg"/><Relationship Id="rId16" Type="http://schemas.openxmlformats.org/officeDocument/2006/relationships/image" Target="media/image5.jpg"/><Relationship Id="rId17" Type="http://schemas.openxmlformats.org/officeDocument/2006/relationships/image" Target="media/image6.jpg"/><Relationship Id="rId18" Type="http://schemas.openxmlformats.org/officeDocument/2006/relationships/image" Target="media/image7.jpg"/><Relationship Id="rId19" Type="http://schemas.openxmlformats.org/officeDocument/2006/relationships/image" Target="media/image8.jpg"/><Relationship Id="rId20" Type="http://schemas.openxmlformats.org/officeDocument/2006/relationships/image" Target="media/image9.jpg"/><Relationship Id="rId21" Type="http://schemas.openxmlformats.org/officeDocument/2006/relationships/image" Target="media/image10.jpg"/><Relationship Id="rId22"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Maisonette in Aachen-Kornelimünster – Premium Exposé</dc:title>
  <dc:subject>4-Zimmer-Maisonette mit Dachstudio, Südwestbalkon und Garage</dc:subject>
  <dc:creator>Objektpräsentation</dc:creator>
  <cp:keywords>Immobilienexposé, Kornelimünster, Maisonette, Aachen</cp:keywords>
  <dc:description>generated by python-docx</dc:description>
  <cp:lastModifiedBy/>
  <cp:revision>1</cp:revision>
  <dcterms:created xsi:type="dcterms:W3CDTF">2013-12-23T23:15:00Z</dcterms:created>
  <dcterms:modified xsi:type="dcterms:W3CDTF">2013-12-23T23:15:00Z</dcterms:modified>
  <cp:category/>
</cp:coreProperties>
</file>